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28" w:rsidRPr="006C6C3B" w:rsidRDefault="00064528" w:rsidP="006C6C3B">
      <w:pPr>
        <w:spacing w:after="0" w:line="240" w:lineRule="auto"/>
        <w:rPr>
          <w:rFonts w:ascii="Times New Roman" w:hAnsi="Times New Roman" w:cs="Times New Roman"/>
          <w:color w:val="000000"/>
          <w:sz w:val="24"/>
          <w:szCs w:val="24"/>
        </w:rPr>
      </w:pPr>
    </w:p>
    <w:p w:rsidR="00E15460" w:rsidRPr="006C6C3B" w:rsidRDefault="00E15460"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color w:val="000000"/>
          <w:sz w:val="24"/>
          <w:szCs w:val="24"/>
        </w:rPr>
        <w:t>NEFORMALIOJO PROFESINIO MOKYMO PROGRAMA</w:t>
      </w:r>
    </w:p>
    <w:p w:rsidR="00E15460" w:rsidRPr="006C6C3B" w:rsidRDefault="00E15460" w:rsidP="006C6C3B">
      <w:pPr>
        <w:spacing w:after="0" w:line="240" w:lineRule="auto"/>
        <w:rPr>
          <w:rFonts w:ascii="Times New Roman" w:hAnsi="Times New Roman" w:cs="Times New Roman"/>
          <w:color w:val="000000"/>
          <w:sz w:val="24"/>
          <w:szCs w:val="24"/>
        </w:rPr>
      </w:pPr>
    </w:p>
    <w:p w:rsidR="00526D12" w:rsidRPr="006C6C3B" w:rsidRDefault="00D644AA" w:rsidP="006C6C3B">
      <w:pPr>
        <w:spacing w:after="0" w:line="240" w:lineRule="auto"/>
        <w:jc w:val="center"/>
        <w:rPr>
          <w:rFonts w:ascii="Times New Roman" w:hAnsi="Times New Roman" w:cs="Times New Roman"/>
          <w:b/>
          <w:color w:val="000000"/>
          <w:sz w:val="24"/>
          <w:szCs w:val="24"/>
        </w:rPr>
      </w:pPr>
      <w:r w:rsidRPr="006C6C3B">
        <w:rPr>
          <w:rFonts w:ascii="Times New Roman" w:hAnsi="Times New Roman" w:cs="Times New Roman"/>
          <w:b/>
          <w:color w:val="000000"/>
          <w:sz w:val="24"/>
          <w:szCs w:val="24"/>
        </w:rPr>
        <w:t>1. PROGRAMOS APIBŪDINIMAS</w:t>
      </w:r>
    </w:p>
    <w:p w:rsidR="00D644AA" w:rsidRPr="006C6C3B" w:rsidRDefault="00D644AA"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CB4113" w:rsidP="006C6C3B">
            <w:pPr>
              <w:jc w:val="both"/>
              <w:rPr>
                <w:rFonts w:ascii="Times New Roman" w:hAnsi="Times New Roman" w:cs="Times New Roman"/>
                <w:color w:val="000000"/>
                <w:sz w:val="24"/>
                <w:szCs w:val="24"/>
              </w:rPr>
            </w:pPr>
            <w:r w:rsidRPr="006C6C3B">
              <w:rPr>
                <w:rFonts w:ascii="Times New Roman" w:hAnsi="Times New Roman" w:cs="Times New Roman"/>
                <w:color w:val="000000"/>
                <w:sz w:val="24"/>
                <w:szCs w:val="24"/>
              </w:rPr>
              <w:t xml:space="preserve">Surinktų lazerių įtaisų ar komponentų testavimo ir išbandymo </w:t>
            </w:r>
            <w:r w:rsidR="006A53BA" w:rsidRPr="006C6C3B">
              <w:rPr>
                <w:rFonts w:ascii="Times New Roman" w:hAnsi="Times New Roman" w:cs="Times New Roman"/>
                <w:color w:val="000000"/>
                <w:sz w:val="24"/>
                <w:szCs w:val="24"/>
              </w:rPr>
              <w:t>neformaliojo profesinio mokymo programa</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i/>
          <w:color w:val="000000"/>
          <w:sz w:val="24"/>
          <w:szCs w:val="24"/>
        </w:rPr>
      </w:pPr>
      <w:r w:rsidRPr="006C6C3B">
        <w:rPr>
          <w:rFonts w:ascii="Times New Roman" w:hAnsi="Times New Roman" w:cs="Times New Roman"/>
          <w:color w:val="000000"/>
          <w:sz w:val="24"/>
          <w:szCs w:val="24"/>
        </w:rPr>
        <w:t>1.</w:t>
      </w:r>
      <w:r w:rsidR="00D644AA" w:rsidRPr="006C6C3B">
        <w:rPr>
          <w:rFonts w:ascii="Times New Roman" w:hAnsi="Times New Roman" w:cs="Times New Roman"/>
          <w:color w:val="000000"/>
          <w:sz w:val="24"/>
          <w:szCs w:val="24"/>
        </w:rPr>
        <w:t>2</w:t>
      </w:r>
      <w:r w:rsidRPr="006C6C3B">
        <w:rPr>
          <w:rFonts w:ascii="Times New Roman" w:hAnsi="Times New Roman" w:cs="Times New Roman"/>
          <w:color w:val="000000"/>
          <w:sz w:val="24"/>
          <w:szCs w:val="24"/>
        </w:rPr>
        <w:t>. Programos valstybinis kodas</w:t>
      </w:r>
      <w:r w:rsidR="00982004" w:rsidRPr="006C6C3B">
        <w:rPr>
          <w:rFonts w:ascii="Times New Roman" w:hAnsi="Times New Roman" w:cs="Times New Roman"/>
          <w:color w:val="000000"/>
          <w:sz w:val="24"/>
          <w:szCs w:val="24"/>
        </w:rPr>
        <w:t xml:space="preserve"> </w:t>
      </w:r>
      <w:r w:rsidR="00982004" w:rsidRPr="006C6C3B">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FB7286" w:rsidP="006C6C3B">
            <w:pPr>
              <w:rPr>
                <w:rFonts w:ascii="Times New Roman" w:hAnsi="Times New Roman" w:cs="Times New Roman"/>
                <w:color w:val="000000"/>
                <w:sz w:val="24"/>
                <w:szCs w:val="24"/>
              </w:rPr>
            </w:pPr>
            <w:r>
              <w:rPr>
                <w:rFonts w:ascii="Times New Roman" w:hAnsi="Times New Roman" w:cs="Times New Roman"/>
                <w:color w:val="000000"/>
                <w:sz w:val="24"/>
                <w:szCs w:val="24"/>
              </w:rPr>
              <w:t>N32071403</w:t>
            </w:r>
            <w:bookmarkStart w:id="0" w:name="_GoBack"/>
            <w:bookmarkEnd w:id="0"/>
          </w:p>
        </w:tc>
      </w:tr>
    </w:tbl>
    <w:p w:rsidR="00526D12" w:rsidRPr="006C6C3B" w:rsidRDefault="00526D12"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D644AA" w:rsidRPr="006C6C3B">
        <w:rPr>
          <w:rFonts w:ascii="Times New Roman" w:hAnsi="Times New Roman" w:cs="Times New Roman"/>
          <w:color w:val="000000"/>
          <w:sz w:val="24"/>
          <w:szCs w:val="24"/>
        </w:rPr>
        <w:t>3</w:t>
      </w:r>
      <w:r w:rsidRPr="006C6C3B">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FD090D" w:rsidP="006C6C3B">
            <w:pPr>
              <w:rPr>
                <w:rFonts w:ascii="Times New Roman" w:hAnsi="Times New Roman" w:cs="Times New Roman"/>
                <w:color w:val="000000"/>
                <w:sz w:val="24"/>
                <w:szCs w:val="24"/>
              </w:rPr>
            </w:pPr>
            <w:r w:rsidRPr="006C6C3B">
              <w:rPr>
                <w:rFonts w:ascii="Times New Roman" w:hAnsi="Times New Roman" w:cs="Times New Roman"/>
                <w:color w:val="000000"/>
                <w:sz w:val="24"/>
                <w:szCs w:val="24"/>
              </w:rPr>
              <w:t>Inžinerija ir inžinerinės profesijos</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526D12" w:rsidRPr="006C6C3B" w:rsidRDefault="00526D12"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4</w:t>
      </w:r>
      <w:r w:rsidRPr="006C6C3B">
        <w:rPr>
          <w:rFonts w:ascii="Times New Roman" w:hAnsi="Times New Roman" w:cs="Times New Roman"/>
          <w:color w:val="000000"/>
          <w:sz w:val="24"/>
          <w:szCs w:val="24"/>
        </w:rPr>
        <w:t xml:space="preserve">. </w:t>
      </w:r>
      <w:r w:rsidR="00E1724C" w:rsidRPr="006C6C3B">
        <w:rPr>
          <w:rFonts w:ascii="Times New Roman" w:hAnsi="Times New Roman" w:cs="Times New Roman"/>
          <w:color w:val="000000"/>
          <w:sz w:val="24"/>
          <w:szCs w:val="24"/>
        </w:rPr>
        <w:t>Š</w:t>
      </w:r>
      <w:r w:rsidRPr="006C6C3B">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6C6C3B" w:rsidTr="00526D12">
        <w:tc>
          <w:tcPr>
            <w:tcW w:w="9628" w:type="dxa"/>
          </w:tcPr>
          <w:p w:rsidR="00526D12" w:rsidRPr="006C6C3B" w:rsidRDefault="001801DC" w:rsidP="006C6C3B">
            <w:pPr>
              <w:rPr>
                <w:rFonts w:ascii="Times New Roman" w:hAnsi="Times New Roman" w:cs="Times New Roman"/>
                <w:color w:val="000000"/>
                <w:sz w:val="24"/>
                <w:szCs w:val="24"/>
              </w:rPr>
            </w:pPr>
            <w:r w:rsidRPr="006C6C3B">
              <w:rPr>
                <w:rFonts w:ascii="Times New Roman" w:hAnsi="Times New Roman" w:cs="Times New Roman"/>
                <w:color w:val="000000"/>
                <w:sz w:val="24"/>
                <w:szCs w:val="24"/>
              </w:rPr>
              <w:t>Ele</w:t>
            </w:r>
            <w:r w:rsidR="00FC1C7D" w:rsidRPr="006C6C3B">
              <w:rPr>
                <w:rFonts w:ascii="Times New Roman" w:hAnsi="Times New Roman" w:cs="Times New Roman"/>
                <w:color w:val="000000"/>
                <w:sz w:val="24"/>
                <w:szCs w:val="24"/>
              </w:rPr>
              <w:t>k</w:t>
            </w:r>
            <w:r w:rsidRPr="006C6C3B">
              <w:rPr>
                <w:rFonts w:ascii="Times New Roman" w:hAnsi="Times New Roman" w:cs="Times New Roman"/>
                <w:color w:val="000000"/>
                <w:sz w:val="24"/>
                <w:szCs w:val="24"/>
              </w:rPr>
              <w:t>tronika ir automatika</w:t>
            </w:r>
          </w:p>
        </w:tc>
      </w:tr>
    </w:tbl>
    <w:p w:rsidR="00526D12" w:rsidRPr="006C6C3B" w:rsidRDefault="00526D12" w:rsidP="006C6C3B">
      <w:pPr>
        <w:spacing w:after="0" w:line="240" w:lineRule="auto"/>
        <w:rPr>
          <w:rFonts w:ascii="Times New Roman" w:hAnsi="Times New Roman" w:cs="Times New Roman"/>
          <w:color w:val="000000"/>
          <w:sz w:val="24"/>
          <w:szCs w:val="24"/>
        </w:rPr>
      </w:pPr>
    </w:p>
    <w:p w:rsidR="00E1724C" w:rsidRPr="006C6C3B" w:rsidRDefault="00E1724C"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5</w:t>
      </w:r>
      <w:r w:rsidRPr="006C6C3B">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6C6C3B" w:rsidTr="00E1724C">
        <w:tc>
          <w:tcPr>
            <w:tcW w:w="9628" w:type="dxa"/>
          </w:tcPr>
          <w:p w:rsidR="00E1724C" w:rsidRPr="006C6C3B" w:rsidRDefault="00FD090D" w:rsidP="006C6C3B">
            <w:pPr>
              <w:rPr>
                <w:rFonts w:ascii="Times New Roman" w:hAnsi="Times New Roman" w:cs="Times New Roman"/>
                <w:color w:val="000000"/>
                <w:sz w:val="24"/>
                <w:szCs w:val="24"/>
              </w:rPr>
            </w:pPr>
            <w:r w:rsidRPr="006C6C3B">
              <w:rPr>
                <w:rFonts w:ascii="Times New Roman" w:hAnsi="Times New Roman" w:cs="Times New Roman"/>
                <w:color w:val="000000"/>
                <w:sz w:val="24"/>
                <w:szCs w:val="24"/>
              </w:rPr>
              <w:t>15</w:t>
            </w:r>
          </w:p>
        </w:tc>
      </w:tr>
    </w:tbl>
    <w:p w:rsidR="00E1724C" w:rsidRPr="006C6C3B" w:rsidRDefault="00E1724C" w:rsidP="006C6C3B">
      <w:pPr>
        <w:spacing w:after="0" w:line="240" w:lineRule="auto"/>
        <w:rPr>
          <w:rFonts w:ascii="Times New Roman" w:hAnsi="Times New Roman" w:cs="Times New Roman"/>
          <w:color w:val="000000"/>
          <w:sz w:val="24"/>
          <w:szCs w:val="24"/>
        </w:rPr>
      </w:pPr>
    </w:p>
    <w:p w:rsidR="00D46745" w:rsidRPr="006C6C3B" w:rsidRDefault="00D46745"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6</w:t>
      </w:r>
      <w:r w:rsidRPr="006C6C3B">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6C6C3B" w:rsidTr="00D46745">
        <w:tc>
          <w:tcPr>
            <w:tcW w:w="9628" w:type="dxa"/>
          </w:tcPr>
          <w:p w:rsidR="00D46745" w:rsidRPr="006C6C3B" w:rsidRDefault="00A51B1F" w:rsidP="006C6C3B">
            <w:pPr>
              <w:jc w:val="both"/>
              <w:rPr>
                <w:rFonts w:ascii="Times New Roman" w:hAnsi="Times New Roman" w:cs="Times New Roman"/>
                <w:color w:val="000000"/>
                <w:sz w:val="24"/>
                <w:szCs w:val="24"/>
              </w:rPr>
            </w:pPr>
            <w:r w:rsidRPr="006C6C3B">
              <w:rPr>
                <w:rFonts w:ascii="Times New Roman" w:hAnsi="Times New Roman" w:cs="Times New Roman"/>
                <w:color w:val="000000"/>
                <w:sz w:val="24"/>
                <w:szCs w:val="24"/>
              </w:rPr>
              <w:t>270</w:t>
            </w:r>
            <w:r w:rsidR="00D46745" w:rsidRPr="006C6C3B">
              <w:rPr>
                <w:rFonts w:ascii="Times New Roman" w:hAnsi="Times New Roman" w:cs="Times New Roman"/>
                <w:color w:val="000000"/>
                <w:sz w:val="24"/>
                <w:szCs w:val="24"/>
              </w:rPr>
              <w:t xml:space="preserve"> akademinių valandų kontaktiniam darbui, iš kurių </w:t>
            </w:r>
            <w:r w:rsidRPr="006C6C3B">
              <w:rPr>
                <w:rFonts w:ascii="Times New Roman" w:hAnsi="Times New Roman" w:cs="Times New Roman"/>
                <w:color w:val="000000"/>
                <w:sz w:val="24"/>
                <w:szCs w:val="24"/>
              </w:rPr>
              <w:t>81</w:t>
            </w:r>
            <w:r w:rsidR="00E07481" w:rsidRPr="006C6C3B">
              <w:rPr>
                <w:rFonts w:ascii="Times New Roman" w:hAnsi="Times New Roman" w:cs="Times New Roman"/>
                <w:color w:val="000000"/>
                <w:sz w:val="24"/>
                <w:szCs w:val="24"/>
              </w:rPr>
              <w:t xml:space="preserve"> </w:t>
            </w:r>
            <w:r w:rsidR="006A53BA" w:rsidRPr="006C6C3B">
              <w:rPr>
                <w:rFonts w:ascii="Times New Roman" w:hAnsi="Times New Roman" w:cs="Times New Roman"/>
                <w:color w:val="000000"/>
                <w:sz w:val="24"/>
                <w:szCs w:val="24"/>
              </w:rPr>
              <w:t>akademinė</w:t>
            </w:r>
            <w:r w:rsidR="00D46745" w:rsidRPr="006C6C3B">
              <w:rPr>
                <w:rFonts w:ascii="Times New Roman" w:hAnsi="Times New Roman" w:cs="Times New Roman"/>
                <w:color w:val="000000"/>
                <w:sz w:val="24"/>
                <w:szCs w:val="24"/>
              </w:rPr>
              <w:t xml:space="preserve"> valand</w:t>
            </w:r>
            <w:r w:rsidRPr="006C6C3B">
              <w:rPr>
                <w:rFonts w:ascii="Times New Roman" w:hAnsi="Times New Roman" w:cs="Times New Roman"/>
                <w:color w:val="000000"/>
                <w:sz w:val="24"/>
                <w:szCs w:val="24"/>
              </w:rPr>
              <w:t>a</w:t>
            </w:r>
            <w:r w:rsidR="00D46745" w:rsidRPr="006C6C3B">
              <w:rPr>
                <w:rFonts w:ascii="Times New Roman" w:hAnsi="Times New Roman" w:cs="Times New Roman"/>
                <w:color w:val="000000"/>
                <w:sz w:val="24"/>
                <w:szCs w:val="24"/>
              </w:rPr>
              <w:t xml:space="preserve"> skiriam</w:t>
            </w:r>
            <w:r w:rsidRPr="006C6C3B">
              <w:rPr>
                <w:rFonts w:ascii="Times New Roman" w:hAnsi="Times New Roman" w:cs="Times New Roman"/>
                <w:color w:val="000000"/>
                <w:sz w:val="24"/>
                <w:szCs w:val="24"/>
              </w:rPr>
              <w:t>a</w:t>
            </w:r>
            <w:r w:rsidR="00D46745" w:rsidRPr="006C6C3B">
              <w:rPr>
                <w:rFonts w:ascii="Times New Roman" w:hAnsi="Times New Roman" w:cs="Times New Roman"/>
                <w:color w:val="000000"/>
                <w:sz w:val="24"/>
                <w:szCs w:val="24"/>
              </w:rPr>
              <w:t xml:space="preserve"> teoriniam mokymui, </w:t>
            </w:r>
            <w:r w:rsidRPr="006C6C3B">
              <w:rPr>
                <w:rFonts w:ascii="Times New Roman" w:hAnsi="Times New Roman" w:cs="Times New Roman"/>
                <w:color w:val="000000"/>
                <w:sz w:val="24"/>
                <w:szCs w:val="24"/>
              </w:rPr>
              <w:t>189</w:t>
            </w:r>
            <w:r w:rsidR="00D46745" w:rsidRPr="006C6C3B">
              <w:rPr>
                <w:rFonts w:ascii="Times New Roman" w:hAnsi="Times New Roman" w:cs="Times New Roman"/>
                <w:color w:val="000000"/>
                <w:sz w:val="24"/>
                <w:szCs w:val="24"/>
              </w:rPr>
              <w:t xml:space="preserve"> akademin</w:t>
            </w:r>
            <w:r w:rsidR="006A53BA" w:rsidRPr="006C6C3B">
              <w:rPr>
                <w:rFonts w:ascii="Times New Roman" w:hAnsi="Times New Roman" w:cs="Times New Roman"/>
                <w:color w:val="000000"/>
                <w:sz w:val="24"/>
                <w:szCs w:val="24"/>
              </w:rPr>
              <w:t>ės</w:t>
            </w:r>
            <w:r w:rsidR="00D46745" w:rsidRPr="006C6C3B">
              <w:rPr>
                <w:rFonts w:ascii="Times New Roman" w:hAnsi="Times New Roman" w:cs="Times New Roman"/>
                <w:color w:val="000000"/>
                <w:sz w:val="24"/>
                <w:szCs w:val="24"/>
              </w:rPr>
              <w:t xml:space="preserve"> valand</w:t>
            </w:r>
            <w:r w:rsidR="006A53BA" w:rsidRPr="006C6C3B">
              <w:rPr>
                <w:rFonts w:ascii="Times New Roman" w:hAnsi="Times New Roman" w:cs="Times New Roman"/>
                <w:color w:val="000000"/>
                <w:sz w:val="24"/>
                <w:szCs w:val="24"/>
              </w:rPr>
              <w:t>os</w:t>
            </w:r>
            <w:r w:rsidR="00D46745" w:rsidRPr="006C6C3B">
              <w:rPr>
                <w:rFonts w:ascii="Times New Roman" w:hAnsi="Times New Roman" w:cs="Times New Roman"/>
                <w:color w:val="000000"/>
                <w:sz w:val="24"/>
                <w:szCs w:val="24"/>
              </w:rPr>
              <w:t xml:space="preserve"> – praktiniam mokymui.</w:t>
            </w:r>
          </w:p>
        </w:tc>
      </w:tr>
    </w:tbl>
    <w:p w:rsidR="00D46745" w:rsidRPr="006C6C3B" w:rsidRDefault="00D46745" w:rsidP="006C6C3B">
      <w:pPr>
        <w:spacing w:after="0" w:line="240" w:lineRule="auto"/>
        <w:rPr>
          <w:rFonts w:ascii="Times New Roman" w:hAnsi="Times New Roman" w:cs="Times New Roman"/>
          <w:color w:val="000000"/>
          <w:sz w:val="24"/>
          <w:szCs w:val="24"/>
        </w:rPr>
      </w:pPr>
    </w:p>
    <w:p w:rsidR="00526D12" w:rsidRPr="006C6C3B" w:rsidRDefault="00D46745"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7</w:t>
      </w:r>
      <w:r w:rsidRPr="006C6C3B">
        <w:rPr>
          <w:rFonts w:ascii="Times New Roman" w:hAnsi="Times New Roman" w:cs="Times New Roman"/>
          <w:color w:val="000000"/>
          <w:sz w:val="24"/>
          <w:szCs w:val="24"/>
        </w:rPr>
        <w:t>. Minimalūs reikalavimai, norint mokytis pagal programą (jeigu nu</w:t>
      </w:r>
      <w:r w:rsidR="00D644AA" w:rsidRPr="006C6C3B">
        <w:rPr>
          <w:rFonts w:ascii="Times New Roman" w:hAnsi="Times New Roman" w:cs="Times New Roman"/>
          <w:color w:val="000000"/>
          <w:sz w:val="24"/>
          <w:szCs w:val="24"/>
        </w:rPr>
        <w:t>s</w:t>
      </w:r>
      <w:r w:rsidRPr="006C6C3B">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6C6C3B" w:rsidTr="00D46745">
        <w:tc>
          <w:tcPr>
            <w:tcW w:w="9628" w:type="dxa"/>
          </w:tcPr>
          <w:p w:rsidR="00D46745" w:rsidRPr="006C6C3B" w:rsidRDefault="00A51B1F" w:rsidP="006C6C3B">
            <w:pPr>
              <w:rPr>
                <w:rFonts w:ascii="Times New Roman" w:hAnsi="Times New Roman" w:cs="Times New Roman"/>
                <w:color w:val="000000"/>
                <w:sz w:val="24"/>
                <w:szCs w:val="24"/>
              </w:rPr>
            </w:pPr>
            <w:r w:rsidRPr="006C6C3B">
              <w:rPr>
                <w:rFonts w:ascii="Times New Roman" w:hAnsi="Times New Roman" w:cs="Times New Roman"/>
                <w:color w:val="000000"/>
                <w:sz w:val="24"/>
                <w:szCs w:val="24"/>
              </w:rPr>
              <w:t xml:space="preserve">Pagrindinis </w:t>
            </w:r>
            <w:r w:rsidR="006A53BA" w:rsidRPr="006C6C3B">
              <w:rPr>
                <w:rFonts w:ascii="Times New Roman" w:hAnsi="Times New Roman" w:cs="Times New Roman"/>
                <w:color w:val="000000"/>
                <w:sz w:val="24"/>
                <w:szCs w:val="24"/>
              </w:rPr>
              <w:t>išsilavinimas</w:t>
            </w:r>
          </w:p>
        </w:tc>
      </w:tr>
    </w:tbl>
    <w:p w:rsidR="00D46745" w:rsidRPr="006C6C3B" w:rsidRDefault="00D46745" w:rsidP="006C6C3B">
      <w:pPr>
        <w:spacing w:after="0" w:line="240" w:lineRule="auto"/>
        <w:rPr>
          <w:rFonts w:ascii="Times New Roman" w:hAnsi="Times New Roman" w:cs="Times New Roman"/>
          <w:color w:val="000000"/>
          <w:sz w:val="24"/>
          <w:szCs w:val="24"/>
        </w:rPr>
      </w:pPr>
    </w:p>
    <w:p w:rsidR="00D46745" w:rsidRPr="006C6C3B" w:rsidRDefault="00D644AA" w:rsidP="006C6C3B">
      <w:pPr>
        <w:spacing w:after="0" w:line="240" w:lineRule="auto"/>
        <w:rPr>
          <w:rFonts w:ascii="Times New Roman" w:hAnsi="Times New Roman" w:cs="Times New Roman"/>
          <w:bCs/>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8</w:t>
      </w:r>
      <w:r w:rsidR="00D46745" w:rsidRPr="006C6C3B">
        <w:rPr>
          <w:rFonts w:ascii="Times New Roman" w:hAnsi="Times New Roman" w:cs="Times New Roman"/>
          <w:color w:val="000000"/>
          <w:sz w:val="24"/>
          <w:szCs w:val="24"/>
        </w:rPr>
        <w:t xml:space="preserve">. </w:t>
      </w:r>
      <w:r w:rsidR="001F7496" w:rsidRPr="006C6C3B">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6C6C3B" w:rsidTr="001F7496">
        <w:tc>
          <w:tcPr>
            <w:tcW w:w="3211" w:type="dxa"/>
          </w:tcPr>
          <w:p w:rsidR="001F7496" w:rsidRPr="006C6C3B" w:rsidRDefault="001F7496" w:rsidP="006C6C3B">
            <w:pPr>
              <w:rPr>
                <w:rFonts w:ascii="Times New Roman" w:hAnsi="Times New Roman" w:cs="Times New Roman"/>
                <w:bCs/>
                <w:sz w:val="24"/>
                <w:szCs w:val="24"/>
              </w:rPr>
            </w:pPr>
            <w:r w:rsidRPr="006C6C3B">
              <w:rPr>
                <w:rFonts w:ascii="Times New Roman" w:hAnsi="Times New Roman" w:cs="Times New Roman"/>
                <w:bCs/>
                <w:sz w:val="24"/>
                <w:szCs w:val="24"/>
              </w:rPr>
              <w:t>Kompetencijos pavadinimas</w:t>
            </w:r>
          </w:p>
        </w:tc>
        <w:tc>
          <w:tcPr>
            <w:tcW w:w="3211" w:type="dxa"/>
          </w:tcPr>
          <w:p w:rsidR="001F7496" w:rsidRPr="006C6C3B" w:rsidRDefault="001F7496" w:rsidP="006C6C3B">
            <w:pPr>
              <w:rPr>
                <w:rFonts w:ascii="Times New Roman" w:hAnsi="Times New Roman" w:cs="Times New Roman"/>
                <w:bCs/>
                <w:i/>
                <w:sz w:val="24"/>
                <w:szCs w:val="24"/>
              </w:rPr>
            </w:pPr>
            <w:r w:rsidRPr="006C6C3B">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6C6C3B" w:rsidRDefault="001F7496" w:rsidP="006C6C3B">
            <w:pPr>
              <w:rPr>
                <w:rFonts w:ascii="Times New Roman" w:hAnsi="Times New Roman" w:cs="Times New Roman"/>
                <w:bCs/>
                <w:sz w:val="24"/>
                <w:szCs w:val="24"/>
              </w:rPr>
            </w:pPr>
            <w:r w:rsidRPr="006C6C3B">
              <w:rPr>
                <w:rFonts w:ascii="Times New Roman" w:hAnsi="Times New Roman" w:cs="Times New Roman"/>
                <w:bCs/>
                <w:sz w:val="24"/>
                <w:szCs w:val="24"/>
              </w:rPr>
              <w:t>Profesinio standarto pavadinimas, jo valstybinis kodas</w:t>
            </w:r>
          </w:p>
        </w:tc>
      </w:tr>
      <w:tr w:rsidR="00FD090D" w:rsidRPr="006C6C3B" w:rsidTr="001F7496">
        <w:tc>
          <w:tcPr>
            <w:tcW w:w="3211" w:type="dxa"/>
          </w:tcPr>
          <w:p w:rsidR="00FD090D" w:rsidRPr="00A7738D" w:rsidRDefault="00A7738D" w:rsidP="006C6C3B">
            <w:pPr>
              <w:rPr>
                <w:rFonts w:ascii="Times New Roman" w:hAnsi="Times New Roman" w:cs="Times New Roman"/>
                <w:sz w:val="24"/>
                <w:szCs w:val="24"/>
              </w:rPr>
            </w:pPr>
            <w:r w:rsidRPr="00A7738D">
              <w:rPr>
                <w:rFonts w:ascii="Times New Roman" w:hAnsi="Times New Roman" w:cs="Times New Roman"/>
                <w:sz w:val="24"/>
                <w:szCs w:val="24"/>
              </w:rPr>
              <w:t>Tikrinti, ar surinkti lazerių optiniai ir mechaniniai  įtaisai ir pagaminti jų komponentai  neturi defektų ir ar atitinka techninius reikalavimus</w:t>
            </w:r>
          </w:p>
        </w:tc>
        <w:tc>
          <w:tcPr>
            <w:tcW w:w="3211" w:type="dxa"/>
          </w:tcPr>
          <w:p w:rsidR="00FD090D" w:rsidRPr="006C6C3B" w:rsidRDefault="00FD090D" w:rsidP="006C6C3B">
            <w:pPr>
              <w:rPr>
                <w:rFonts w:ascii="Times New Roman" w:hAnsi="Times New Roman" w:cs="Times New Roman"/>
                <w:bCs/>
                <w:sz w:val="24"/>
                <w:szCs w:val="24"/>
              </w:rPr>
            </w:pPr>
            <w:r w:rsidRPr="006C6C3B">
              <w:rPr>
                <w:rFonts w:ascii="Times New Roman" w:hAnsi="Times New Roman" w:cs="Times New Roman"/>
                <w:sz w:val="24"/>
                <w:szCs w:val="24"/>
              </w:rPr>
              <w:t>Lazerių optinių ir mechaninių įtaisų ir jų komponentų surinkėjas</w:t>
            </w:r>
            <w:r w:rsidRPr="006C6C3B">
              <w:rPr>
                <w:rFonts w:ascii="Times New Roman" w:hAnsi="Times New Roman" w:cs="Times New Roman"/>
                <w:bCs/>
                <w:sz w:val="24"/>
                <w:szCs w:val="24"/>
              </w:rPr>
              <w:t>, LTKS III</w:t>
            </w:r>
            <w:r w:rsidRPr="006C6C3B">
              <w:rPr>
                <w:rFonts w:ascii="Times New Roman" w:hAnsi="Times New Roman" w:cs="Times New Roman"/>
                <w:sz w:val="24"/>
                <w:szCs w:val="24"/>
              </w:rPr>
              <w:t xml:space="preserve">, </w:t>
            </w:r>
            <w:r w:rsidR="001801DC" w:rsidRPr="006C6C3B">
              <w:rPr>
                <w:rFonts w:ascii="Times New Roman" w:hAnsi="Times New Roman" w:cs="Times New Roman"/>
                <w:sz w:val="24"/>
                <w:szCs w:val="24"/>
              </w:rPr>
              <w:t>C126304</w:t>
            </w:r>
          </w:p>
        </w:tc>
        <w:tc>
          <w:tcPr>
            <w:tcW w:w="3212" w:type="dxa"/>
          </w:tcPr>
          <w:p w:rsidR="00FD090D" w:rsidRPr="006C6C3B" w:rsidRDefault="00FD090D" w:rsidP="006C6C3B">
            <w:pPr>
              <w:rPr>
                <w:rFonts w:ascii="Times New Roman" w:hAnsi="Times New Roman" w:cs="Times New Roman"/>
                <w:bCs/>
                <w:sz w:val="24"/>
                <w:szCs w:val="24"/>
              </w:rPr>
            </w:pPr>
            <w:r w:rsidRPr="006C6C3B">
              <w:rPr>
                <w:rFonts w:ascii="Times New Roman" w:hAnsi="Times New Roman" w:cs="Times New Roman"/>
                <w:color w:val="000000"/>
                <w:sz w:val="24"/>
                <w:szCs w:val="24"/>
              </w:rPr>
              <w:t>Elektros įrangos, kompiuterinių, elektroninių ir optinių gaminių gamybos sektoriaus profesinis standartas</w:t>
            </w:r>
            <w:r w:rsidRPr="006C6C3B">
              <w:rPr>
                <w:rFonts w:ascii="Times New Roman" w:hAnsi="Times New Roman" w:cs="Times New Roman"/>
                <w:bCs/>
                <w:sz w:val="24"/>
                <w:szCs w:val="24"/>
              </w:rPr>
              <w:t xml:space="preserve">, </w:t>
            </w:r>
            <w:r w:rsidRPr="006C6C3B">
              <w:rPr>
                <w:rFonts w:ascii="Times New Roman" w:hAnsi="Times New Roman" w:cs="Times New Roman"/>
                <w:color w:val="000000"/>
                <w:sz w:val="24"/>
                <w:szCs w:val="24"/>
              </w:rPr>
              <w:t>PSC01</w:t>
            </w:r>
          </w:p>
        </w:tc>
      </w:tr>
      <w:tr w:rsidR="001801DC" w:rsidRPr="006C6C3B" w:rsidTr="001F7496">
        <w:tc>
          <w:tcPr>
            <w:tcW w:w="3211" w:type="dxa"/>
          </w:tcPr>
          <w:p w:rsidR="001801DC" w:rsidRPr="00A7738D" w:rsidRDefault="00A7738D" w:rsidP="006C6C3B">
            <w:pPr>
              <w:rPr>
                <w:rFonts w:ascii="Times New Roman" w:hAnsi="Times New Roman" w:cs="Times New Roman"/>
                <w:sz w:val="24"/>
                <w:szCs w:val="24"/>
              </w:rPr>
            </w:pPr>
            <w:r w:rsidRPr="00A7738D">
              <w:rPr>
                <w:rFonts w:ascii="Times New Roman" w:hAnsi="Times New Roman" w:cs="Times New Roman"/>
                <w:sz w:val="24"/>
                <w:szCs w:val="24"/>
              </w:rPr>
              <w:t>Pašalinti lazerių optinių ir mechaninių įtaisų surinkimo ir jų komponentų gamybos metu atsiradusius defektus</w:t>
            </w:r>
          </w:p>
        </w:tc>
        <w:tc>
          <w:tcPr>
            <w:tcW w:w="3211" w:type="dxa"/>
          </w:tcPr>
          <w:p w:rsidR="001801DC" w:rsidRPr="006C6C3B" w:rsidRDefault="001801DC" w:rsidP="006C6C3B">
            <w:pPr>
              <w:rPr>
                <w:rFonts w:ascii="Times New Roman" w:hAnsi="Times New Roman" w:cs="Times New Roman"/>
                <w:bCs/>
                <w:sz w:val="24"/>
                <w:szCs w:val="24"/>
              </w:rPr>
            </w:pPr>
            <w:r w:rsidRPr="006C6C3B">
              <w:rPr>
                <w:rFonts w:ascii="Times New Roman" w:hAnsi="Times New Roman" w:cs="Times New Roman"/>
                <w:sz w:val="24"/>
                <w:szCs w:val="24"/>
              </w:rPr>
              <w:t>Lazerių optinių ir mechaninių įtaisų ir jų komponentų surinkėjas</w:t>
            </w:r>
            <w:r w:rsidRPr="006C6C3B">
              <w:rPr>
                <w:rFonts w:ascii="Times New Roman" w:hAnsi="Times New Roman" w:cs="Times New Roman"/>
                <w:bCs/>
                <w:sz w:val="24"/>
                <w:szCs w:val="24"/>
              </w:rPr>
              <w:t>, LTKS III</w:t>
            </w:r>
            <w:r w:rsidRPr="006C6C3B">
              <w:rPr>
                <w:rFonts w:ascii="Times New Roman" w:hAnsi="Times New Roman" w:cs="Times New Roman"/>
                <w:sz w:val="24"/>
                <w:szCs w:val="24"/>
              </w:rPr>
              <w:t>, C126304</w:t>
            </w:r>
          </w:p>
        </w:tc>
        <w:tc>
          <w:tcPr>
            <w:tcW w:w="3212" w:type="dxa"/>
          </w:tcPr>
          <w:p w:rsidR="001801DC" w:rsidRPr="006C6C3B" w:rsidRDefault="001801DC" w:rsidP="006C6C3B">
            <w:pPr>
              <w:rPr>
                <w:rFonts w:ascii="Times New Roman" w:hAnsi="Times New Roman" w:cs="Times New Roman"/>
                <w:bCs/>
                <w:sz w:val="24"/>
                <w:szCs w:val="24"/>
              </w:rPr>
            </w:pPr>
            <w:r w:rsidRPr="006C6C3B">
              <w:rPr>
                <w:rFonts w:ascii="Times New Roman" w:hAnsi="Times New Roman" w:cs="Times New Roman"/>
                <w:color w:val="000000"/>
                <w:sz w:val="24"/>
                <w:szCs w:val="24"/>
              </w:rPr>
              <w:t>Elektros įrangos, kompiuterinių, elektroninių ir optinių gaminių gamybos sektoriaus profesinis standartas</w:t>
            </w:r>
            <w:r w:rsidRPr="006C6C3B">
              <w:rPr>
                <w:rFonts w:ascii="Times New Roman" w:hAnsi="Times New Roman" w:cs="Times New Roman"/>
                <w:bCs/>
                <w:sz w:val="24"/>
                <w:szCs w:val="24"/>
              </w:rPr>
              <w:t xml:space="preserve">, </w:t>
            </w:r>
            <w:r w:rsidRPr="006C6C3B">
              <w:rPr>
                <w:rFonts w:ascii="Times New Roman" w:hAnsi="Times New Roman" w:cs="Times New Roman"/>
                <w:color w:val="000000"/>
                <w:sz w:val="24"/>
                <w:szCs w:val="24"/>
              </w:rPr>
              <w:t>PSC01</w:t>
            </w:r>
          </w:p>
        </w:tc>
      </w:tr>
    </w:tbl>
    <w:p w:rsidR="001F7496" w:rsidRPr="006C6C3B" w:rsidRDefault="001F7496" w:rsidP="006C6C3B">
      <w:pPr>
        <w:spacing w:after="0" w:line="240" w:lineRule="auto"/>
        <w:rPr>
          <w:rFonts w:ascii="Times New Roman" w:hAnsi="Times New Roman" w:cs="Times New Roman"/>
          <w:color w:val="000000"/>
          <w:sz w:val="24"/>
          <w:szCs w:val="24"/>
        </w:rPr>
      </w:pPr>
    </w:p>
    <w:p w:rsidR="00937C19" w:rsidRPr="006C6C3B" w:rsidRDefault="00937C19" w:rsidP="006C6C3B">
      <w:pPr>
        <w:spacing w:after="0" w:line="240" w:lineRule="auto"/>
        <w:rPr>
          <w:rFonts w:ascii="Times New Roman" w:hAnsi="Times New Roman" w:cs="Times New Roman"/>
          <w:color w:val="000000"/>
          <w:sz w:val="24"/>
          <w:szCs w:val="24"/>
        </w:rPr>
      </w:pPr>
      <w:r w:rsidRPr="006C6C3B">
        <w:rPr>
          <w:rFonts w:ascii="Times New Roman" w:hAnsi="Times New Roman" w:cs="Times New Roman"/>
          <w:color w:val="000000"/>
          <w:sz w:val="24"/>
          <w:szCs w:val="24"/>
        </w:rPr>
        <w:t>1.</w:t>
      </w:r>
      <w:r w:rsidR="00982004" w:rsidRPr="006C6C3B">
        <w:rPr>
          <w:rFonts w:ascii="Times New Roman" w:hAnsi="Times New Roman" w:cs="Times New Roman"/>
          <w:color w:val="000000"/>
          <w:sz w:val="24"/>
          <w:szCs w:val="24"/>
        </w:rPr>
        <w:t>9</w:t>
      </w:r>
      <w:r w:rsidRPr="006C6C3B">
        <w:rPr>
          <w:rFonts w:ascii="Times New Roman" w:hAnsi="Times New Roman" w:cs="Times New Roman"/>
          <w:color w:val="000000"/>
          <w:sz w:val="24"/>
          <w:szCs w:val="24"/>
        </w:rPr>
        <w:t>.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RPr="006C6C3B" w:rsidTr="00937C19">
        <w:tc>
          <w:tcPr>
            <w:tcW w:w="9628" w:type="dxa"/>
          </w:tcPr>
          <w:p w:rsidR="00937C19" w:rsidRPr="006C6C3B" w:rsidRDefault="001A2C0F" w:rsidP="006C6C3B">
            <w:pPr>
              <w:pStyle w:val="ListParagraph"/>
              <w:numPr>
                <w:ilvl w:val="0"/>
                <w:numId w:val="1"/>
              </w:numPr>
              <w:spacing w:after="0" w:line="240" w:lineRule="auto"/>
              <w:ind w:left="0" w:firstLine="0"/>
              <w:rPr>
                <w:rFonts w:ascii="Times New Roman" w:hAnsi="Times New Roman" w:cs="Times New Roman"/>
                <w:color w:val="000000"/>
                <w:sz w:val="24"/>
                <w:szCs w:val="24"/>
              </w:rPr>
            </w:pPr>
            <w:r w:rsidRPr="006C6C3B">
              <w:rPr>
                <w:rFonts w:ascii="Times New Roman" w:hAnsi="Times New Roman" w:cs="Times New Roman"/>
                <w:color w:val="000000"/>
                <w:sz w:val="24"/>
                <w:szCs w:val="24"/>
              </w:rPr>
              <w:t xml:space="preserve">Jei asmens mokymas yra finansuojamas iš Užimtumo </w:t>
            </w:r>
            <w:r w:rsidR="002360E9" w:rsidRPr="006C6C3B">
              <w:rPr>
                <w:rFonts w:ascii="Times New Roman" w:hAnsi="Times New Roman" w:cs="Times New Roman"/>
                <w:color w:val="000000"/>
                <w:sz w:val="24"/>
                <w:szCs w:val="24"/>
              </w:rPr>
              <w:t>tarnybos</w:t>
            </w:r>
            <w:r w:rsidRPr="006C6C3B">
              <w:rPr>
                <w:rFonts w:ascii="Times New Roman" w:hAnsi="Times New Roman" w:cs="Times New Roman"/>
                <w:color w:val="000000"/>
                <w:sz w:val="24"/>
                <w:szCs w:val="24"/>
              </w:rPr>
              <w:t xml:space="preserve"> lėšų, asmeniui, baigusiam programą yra būtinas įgytų kompetencijų vertinimas.</w:t>
            </w:r>
          </w:p>
        </w:tc>
      </w:tr>
    </w:tbl>
    <w:p w:rsidR="00D644AA" w:rsidRPr="006C6C3B" w:rsidRDefault="00D644AA" w:rsidP="006C6C3B">
      <w:pPr>
        <w:spacing w:after="0" w:line="240" w:lineRule="auto"/>
        <w:rPr>
          <w:rFonts w:ascii="Times New Roman" w:hAnsi="Times New Roman" w:cs="Times New Roman"/>
          <w:b/>
          <w:sz w:val="24"/>
          <w:szCs w:val="24"/>
        </w:rPr>
      </w:pPr>
      <w:r w:rsidRPr="006C6C3B">
        <w:rPr>
          <w:rFonts w:ascii="Times New Roman" w:hAnsi="Times New Roman" w:cs="Times New Roman"/>
          <w:b/>
          <w:sz w:val="24"/>
          <w:szCs w:val="24"/>
        </w:rPr>
        <w:br w:type="page"/>
      </w:r>
    </w:p>
    <w:p w:rsidR="00D644AA" w:rsidRPr="006C6C3B" w:rsidRDefault="00D644AA" w:rsidP="006C6C3B">
      <w:pPr>
        <w:spacing w:after="0" w:line="240" w:lineRule="auto"/>
        <w:jc w:val="center"/>
        <w:rPr>
          <w:rFonts w:ascii="Times New Roman" w:hAnsi="Times New Roman" w:cs="Times New Roman"/>
          <w:b/>
          <w:sz w:val="24"/>
          <w:szCs w:val="24"/>
        </w:rPr>
        <w:sectPr w:rsidR="00D644AA" w:rsidRPr="006C6C3B"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6C6C3B" w:rsidRDefault="00165AB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lastRenderedPageBreak/>
        <w:t xml:space="preserve">2. PROGRAMOS </w:t>
      </w:r>
      <w:r w:rsidR="00ED67C1" w:rsidRPr="006C6C3B">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6C6C3B" w:rsidTr="008F5876">
        <w:trPr>
          <w:trHeight w:val="40"/>
        </w:trPr>
        <w:tc>
          <w:tcPr>
            <w:tcW w:w="2122"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Modulio pavadinimas (valstybinis kodas)</w:t>
            </w:r>
          </w:p>
        </w:tc>
        <w:tc>
          <w:tcPr>
            <w:tcW w:w="1134"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Modulio LTKS lygis</w:t>
            </w:r>
          </w:p>
        </w:tc>
        <w:tc>
          <w:tcPr>
            <w:tcW w:w="2976"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Kompetencija(-os)</w:t>
            </w:r>
          </w:p>
        </w:tc>
        <w:tc>
          <w:tcPr>
            <w:tcW w:w="4536"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Kompetencijos(-jų) pasiekimą nurodantys mokymosi rezultatai</w:t>
            </w:r>
          </w:p>
        </w:tc>
        <w:tc>
          <w:tcPr>
            <w:tcW w:w="1276" w:type="dxa"/>
            <w:vMerge w:val="restart"/>
          </w:tcPr>
          <w:p w:rsidR="00937C19" w:rsidRPr="006C6C3B" w:rsidRDefault="00937C19"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t>Modulio apimtis mokymosi kreditais</w:t>
            </w:r>
          </w:p>
        </w:tc>
        <w:tc>
          <w:tcPr>
            <w:tcW w:w="3650" w:type="dxa"/>
            <w:gridSpan w:val="3"/>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Akademinės valandos kontaktiniam darbui</w:t>
            </w:r>
          </w:p>
        </w:tc>
      </w:tr>
      <w:tr w:rsidR="00937C19" w:rsidRPr="006C6C3B" w:rsidTr="0057657C">
        <w:trPr>
          <w:trHeight w:val="432"/>
        </w:trPr>
        <w:tc>
          <w:tcPr>
            <w:tcW w:w="2122" w:type="dxa"/>
            <w:vMerge/>
          </w:tcPr>
          <w:p w:rsidR="00937C19" w:rsidRPr="006C6C3B" w:rsidRDefault="00937C19" w:rsidP="006C6C3B">
            <w:pPr>
              <w:spacing w:after="0" w:line="240" w:lineRule="auto"/>
              <w:rPr>
                <w:rFonts w:ascii="Times New Roman" w:hAnsi="Times New Roman" w:cs="Times New Roman"/>
                <w:b/>
                <w:sz w:val="24"/>
                <w:szCs w:val="24"/>
              </w:rPr>
            </w:pPr>
          </w:p>
        </w:tc>
        <w:tc>
          <w:tcPr>
            <w:tcW w:w="1134" w:type="dxa"/>
            <w:vMerge/>
          </w:tcPr>
          <w:p w:rsidR="00937C19" w:rsidRPr="006C6C3B" w:rsidRDefault="00937C19" w:rsidP="006C6C3B">
            <w:pPr>
              <w:spacing w:after="0" w:line="240" w:lineRule="auto"/>
              <w:rPr>
                <w:rFonts w:ascii="Times New Roman" w:hAnsi="Times New Roman" w:cs="Times New Roman"/>
                <w:b/>
                <w:sz w:val="24"/>
                <w:szCs w:val="24"/>
              </w:rPr>
            </w:pPr>
          </w:p>
        </w:tc>
        <w:tc>
          <w:tcPr>
            <w:tcW w:w="2976" w:type="dxa"/>
            <w:vMerge/>
          </w:tcPr>
          <w:p w:rsidR="00937C19" w:rsidRPr="006C6C3B" w:rsidRDefault="00937C19" w:rsidP="006C6C3B">
            <w:pPr>
              <w:spacing w:after="0" w:line="240" w:lineRule="auto"/>
              <w:rPr>
                <w:rFonts w:ascii="Times New Roman" w:hAnsi="Times New Roman" w:cs="Times New Roman"/>
                <w:b/>
                <w:sz w:val="24"/>
                <w:szCs w:val="24"/>
              </w:rPr>
            </w:pPr>
          </w:p>
        </w:tc>
        <w:tc>
          <w:tcPr>
            <w:tcW w:w="4536" w:type="dxa"/>
            <w:vMerge/>
          </w:tcPr>
          <w:p w:rsidR="00937C19" w:rsidRPr="006C6C3B" w:rsidRDefault="00937C19" w:rsidP="006C6C3B">
            <w:pPr>
              <w:spacing w:after="0" w:line="240" w:lineRule="auto"/>
              <w:rPr>
                <w:rFonts w:ascii="Times New Roman" w:hAnsi="Times New Roman" w:cs="Times New Roman"/>
                <w:b/>
                <w:sz w:val="24"/>
                <w:szCs w:val="24"/>
              </w:rPr>
            </w:pPr>
          </w:p>
        </w:tc>
        <w:tc>
          <w:tcPr>
            <w:tcW w:w="1276" w:type="dxa"/>
            <w:vMerge/>
          </w:tcPr>
          <w:p w:rsidR="00937C19" w:rsidRPr="006C6C3B" w:rsidRDefault="00937C19" w:rsidP="006C6C3B">
            <w:pPr>
              <w:spacing w:after="0" w:line="240" w:lineRule="auto"/>
              <w:rPr>
                <w:rFonts w:ascii="Times New Roman" w:hAnsi="Times New Roman" w:cs="Times New Roman"/>
                <w:b/>
                <w:sz w:val="24"/>
                <w:szCs w:val="24"/>
              </w:rPr>
            </w:pPr>
          </w:p>
        </w:tc>
        <w:tc>
          <w:tcPr>
            <w:tcW w:w="1418" w:type="dxa"/>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Teoriniam mokymui</w:t>
            </w:r>
          </w:p>
        </w:tc>
        <w:tc>
          <w:tcPr>
            <w:tcW w:w="1417" w:type="dxa"/>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Praktiniam mokymui</w:t>
            </w:r>
          </w:p>
        </w:tc>
        <w:tc>
          <w:tcPr>
            <w:tcW w:w="815" w:type="dxa"/>
          </w:tcPr>
          <w:p w:rsidR="00937C19" w:rsidRPr="006C6C3B" w:rsidRDefault="00937C19" w:rsidP="006C6C3B">
            <w:pPr>
              <w:suppressAutoHyphens/>
              <w:overflowPunct w:val="0"/>
              <w:spacing w:after="0" w:line="240" w:lineRule="auto"/>
              <w:jc w:val="center"/>
              <w:textAlignment w:val="center"/>
              <w:rPr>
                <w:rFonts w:ascii="Times New Roman" w:hAnsi="Times New Roman" w:cs="Times New Roman"/>
                <w:b/>
                <w:sz w:val="24"/>
                <w:szCs w:val="24"/>
              </w:rPr>
            </w:pPr>
            <w:r w:rsidRPr="006C6C3B">
              <w:rPr>
                <w:rFonts w:ascii="Times New Roman" w:hAnsi="Times New Roman" w:cs="Times New Roman"/>
                <w:b/>
                <w:sz w:val="24"/>
                <w:szCs w:val="24"/>
              </w:rPr>
              <w:t>Iš viso</w:t>
            </w:r>
          </w:p>
        </w:tc>
      </w:tr>
      <w:tr w:rsidR="00BC7121" w:rsidRPr="006C6C3B" w:rsidTr="008F5876">
        <w:trPr>
          <w:trHeight w:val="40"/>
        </w:trPr>
        <w:tc>
          <w:tcPr>
            <w:tcW w:w="2122" w:type="dxa"/>
            <w:vMerge w:val="restart"/>
          </w:tcPr>
          <w:p w:rsidR="00730454" w:rsidRDefault="00CB4113" w:rsidP="006C6C3B">
            <w:pPr>
              <w:spacing w:after="0" w:line="240" w:lineRule="auto"/>
              <w:rPr>
                <w:rFonts w:ascii="Times New Roman" w:hAnsi="Times New Roman" w:cs="Times New Roman"/>
                <w:sz w:val="24"/>
                <w:szCs w:val="24"/>
              </w:rPr>
            </w:pPr>
            <w:r w:rsidRPr="006C6C3B">
              <w:rPr>
                <w:rFonts w:ascii="Times New Roman" w:hAnsi="Times New Roman" w:cs="Times New Roman"/>
                <w:sz w:val="24"/>
                <w:szCs w:val="24"/>
              </w:rPr>
              <w:t xml:space="preserve">Surinktų lazerių optinių ir mechaninių įtaisų ar pagamintų komponentų testavimas ir išbandymas pagal nustatytas procedūras </w:t>
            </w:r>
            <w:r w:rsidR="00BC7121" w:rsidRPr="006C6C3B">
              <w:rPr>
                <w:rFonts w:ascii="Times New Roman" w:hAnsi="Times New Roman" w:cs="Times New Roman"/>
                <w:sz w:val="24"/>
                <w:szCs w:val="24"/>
              </w:rPr>
              <w:t>(N)</w:t>
            </w:r>
            <w:r w:rsidR="00730454">
              <w:rPr>
                <w:rFonts w:ascii="Times New Roman" w:hAnsi="Times New Roman" w:cs="Times New Roman"/>
                <w:sz w:val="24"/>
                <w:szCs w:val="24"/>
              </w:rPr>
              <w:t xml:space="preserve"> </w:t>
            </w:r>
          </w:p>
          <w:p w:rsidR="00BC7121" w:rsidRPr="006C6C3B" w:rsidRDefault="00730454" w:rsidP="006C6C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965E2">
              <w:rPr>
                <w:rFonts w:ascii="Times New Roman" w:hAnsi="Times New Roman" w:cs="Times New Roman"/>
                <w:sz w:val="24"/>
                <w:szCs w:val="24"/>
              </w:rPr>
              <w:t>307140009</w:t>
            </w:r>
            <w:r>
              <w:rPr>
                <w:rFonts w:ascii="Times New Roman" w:hAnsi="Times New Roman" w:cs="Times New Roman"/>
                <w:sz w:val="24"/>
                <w:szCs w:val="24"/>
              </w:rPr>
              <w:t>)</w:t>
            </w:r>
          </w:p>
        </w:tc>
        <w:tc>
          <w:tcPr>
            <w:tcW w:w="1134" w:type="dxa"/>
            <w:vMerge w:val="restart"/>
          </w:tcPr>
          <w:p w:rsidR="00BC7121" w:rsidRPr="006C6C3B" w:rsidRDefault="00BC7121"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III</w:t>
            </w:r>
          </w:p>
        </w:tc>
        <w:tc>
          <w:tcPr>
            <w:tcW w:w="2976" w:type="dxa"/>
          </w:tcPr>
          <w:p w:rsidR="00BC7121"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Tikrinti, ar surinkti lazerių optiniai ir mechaniniai įtaisai ir pagaminti jų komponentai neturi defektų ir ar atitinka techninius reikalavimus.</w:t>
            </w:r>
          </w:p>
        </w:tc>
        <w:tc>
          <w:tcPr>
            <w:tcW w:w="4536" w:type="dxa"/>
          </w:tcPr>
          <w:p w:rsidR="00CB4113"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Apibūdinti lazerių optinių, mechaninių komponentų ir surinktų mazgų kokybės kontrolės įrangą.</w:t>
            </w:r>
          </w:p>
          <w:p w:rsidR="00CB4113"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Atlikti lazerių optinių, mechaninių komponentų ir surinktų įtaisų testavimą ir išbandymą.</w:t>
            </w:r>
          </w:p>
          <w:p w:rsidR="00BC7121" w:rsidRPr="006C6C3B" w:rsidRDefault="00CB4113" w:rsidP="006C6C3B">
            <w:pPr>
              <w:spacing w:after="0" w:line="240" w:lineRule="auto"/>
              <w:rPr>
                <w:rFonts w:ascii="Times New Roman" w:hAnsi="Times New Roman" w:cs="Times New Roman"/>
                <w:sz w:val="24"/>
                <w:szCs w:val="24"/>
              </w:rPr>
            </w:pPr>
            <w:r w:rsidRPr="006C6C3B">
              <w:rPr>
                <w:rFonts w:ascii="Times New Roman" w:hAnsi="Times New Roman" w:cs="Times New Roman"/>
                <w:sz w:val="24"/>
                <w:szCs w:val="24"/>
              </w:rPr>
              <w:t>Atrinkti lazerių optinius, mechaninius komponentus ir surinktus įtaisus, tenkinančius kokybės ir standartų reikalavimus.</w:t>
            </w:r>
          </w:p>
        </w:tc>
        <w:tc>
          <w:tcPr>
            <w:tcW w:w="1276" w:type="dxa"/>
            <w:vMerge w:val="restart"/>
          </w:tcPr>
          <w:p w:rsidR="00BC7121" w:rsidRPr="006C6C3B" w:rsidRDefault="00BC7121"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15</w:t>
            </w:r>
          </w:p>
        </w:tc>
        <w:tc>
          <w:tcPr>
            <w:tcW w:w="1418" w:type="dxa"/>
            <w:vMerge w:val="restart"/>
          </w:tcPr>
          <w:p w:rsidR="00BC7121" w:rsidRPr="006C6C3B" w:rsidRDefault="00BC7121"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81</w:t>
            </w:r>
          </w:p>
        </w:tc>
        <w:tc>
          <w:tcPr>
            <w:tcW w:w="1417" w:type="dxa"/>
            <w:vMerge w:val="restart"/>
          </w:tcPr>
          <w:p w:rsidR="00BC7121" w:rsidRPr="006C6C3B" w:rsidRDefault="00BC7121"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279</w:t>
            </w:r>
          </w:p>
        </w:tc>
        <w:tc>
          <w:tcPr>
            <w:tcW w:w="815" w:type="dxa"/>
            <w:vMerge w:val="restart"/>
          </w:tcPr>
          <w:p w:rsidR="00BC7121" w:rsidRPr="006C6C3B" w:rsidRDefault="00BC7121"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270</w:t>
            </w:r>
          </w:p>
        </w:tc>
      </w:tr>
      <w:tr w:rsidR="00CB4113" w:rsidRPr="006C6C3B" w:rsidTr="008F5876">
        <w:trPr>
          <w:trHeight w:val="40"/>
        </w:trPr>
        <w:tc>
          <w:tcPr>
            <w:tcW w:w="2122" w:type="dxa"/>
            <w:vMerge/>
          </w:tcPr>
          <w:p w:rsidR="00CB4113" w:rsidRPr="006C6C3B" w:rsidRDefault="00CB4113" w:rsidP="006C6C3B">
            <w:pPr>
              <w:spacing w:after="0" w:line="240" w:lineRule="auto"/>
              <w:rPr>
                <w:rFonts w:ascii="Times New Roman" w:hAnsi="Times New Roman" w:cs="Times New Roman"/>
                <w:i/>
                <w:sz w:val="24"/>
                <w:szCs w:val="24"/>
              </w:rPr>
            </w:pPr>
          </w:p>
        </w:tc>
        <w:tc>
          <w:tcPr>
            <w:tcW w:w="1134"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2976" w:type="dxa"/>
          </w:tcPr>
          <w:p w:rsidR="00CB4113"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Pašalinti lazerių optinių ir mechaninių įtaisų surinkimo ir jų komponentų gamybos metu atsiradusius defektus.</w:t>
            </w:r>
          </w:p>
        </w:tc>
        <w:tc>
          <w:tcPr>
            <w:tcW w:w="4536" w:type="dxa"/>
          </w:tcPr>
          <w:p w:rsidR="00CB4113"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Apibūdinti lazerių optinių ir mechaninių įtaisų surinkimo ir jų komponentų gamybos metu atsirandančius defektus.</w:t>
            </w:r>
          </w:p>
          <w:p w:rsidR="00CB4113"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Šalinti defektus pagal iš anksto nustatytus darbo aprašus ir defektų šalinimo procedūrų aprašymus.</w:t>
            </w:r>
          </w:p>
          <w:p w:rsidR="00CB4113" w:rsidRPr="006C6C3B" w:rsidRDefault="00CB4113" w:rsidP="006C6C3B">
            <w:pPr>
              <w:widowControl w:val="0"/>
              <w:spacing w:after="0" w:line="240" w:lineRule="auto"/>
              <w:rPr>
                <w:rFonts w:ascii="Times New Roman" w:hAnsi="Times New Roman" w:cs="Times New Roman"/>
                <w:sz w:val="24"/>
                <w:szCs w:val="24"/>
              </w:rPr>
            </w:pPr>
            <w:r w:rsidRPr="006C6C3B">
              <w:rPr>
                <w:rFonts w:ascii="Times New Roman" w:hAnsi="Times New Roman" w:cs="Times New Roman"/>
                <w:sz w:val="24"/>
                <w:szCs w:val="24"/>
              </w:rPr>
              <w:t>Testuoti lazerių optinius ir mechaninius įtaisus ir jų komponentus po jų defektų pašalinimo.</w:t>
            </w:r>
          </w:p>
        </w:tc>
        <w:tc>
          <w:tcPr>
            <w:tcW w:w="1276"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1418"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1417" w:type="dxa"/>
            <w:vMerge/>
          </w:tcPr>
          <w:p w:rsidR="00CB4113" w:rsidRPr="006C6C3B" w:rsidRDefault="00CB4113" w:rsidP="006C6C3B">
            <w:pPr>
              <w:spacing w:after="0" w:line="240" w:lineRule="auto"/>
              <w:jc w:val="center"/>
              <w:rPr>
                <w:rFonts w:ascii="Times New Roman" w:hAnsi="Times New Roman" w:cs="Times New Roman"/>
                <w:sz w:val="24"/>
                <w:szCs w:val="24"/>
              </w:rPr>
            </w:pPr>
          </w:p>
        </w:tc>
        <w:tc>
          <w:tcPr>
            <w:tcW w:w="815" w:type="dxa"/>
            <w:vMerge/>
          </w:tcPr>
          <w:p w:rsidR="00CB4113" w:rsidRPr="006C6C3B" w:rsidRDefault="00CB4113" w:rsidP="006C6C3B">
            <w:pPr>
              <w:spacing w:after="0" w:line="240" w:lineRule="auto"/>
              <w:jc w:val="center"/>
              <w:rPr>
                <w:rFonts w:ascii="Times New Roman" w:hAnsi="Times New Roman" w:cs="Times New Roman"/>
                <w:sz w:val="24"/>
                <w:szCs w:val="24"/>
              </w:rPr>
            </w:pPr>
          </w:p>
        </w:tc>
      </w:tr>
    </w:tbl>
    <w:p w:rsidR="00CB4113" w:rsidRPr="006C6C3B" w:rsidRDefault="00CB4113" w:rsidP="006C6C3B">
      <w:pPr>
        <w:spacing w:after="0" w:line="240" w:lineRule="auto"/>
        <w:jc w:val="center"/>
        <w:rPr>
          <w:rFonts w:ascii="Times New Roman" w:hAnsi="Times New Roman" w:cs="Times New Roman"/>
          <w:b/>
          <w:sz w:val="24"/>
          <w:szCs w:val="24"/>
        </w:rPr>
      </w:pPr>
    </w:p>
    <w:p w:rsidR="00CB4113" w:rsidRPr="006C6C3B" w:rsidRDefault="00CB4113" w:rsidP="006C6C3B">
      <w:pPr>
        <w:spacing w:after="0" w:line="240" w:lineRule="auto"/>
        <w:rPr>
          <w:rFonts w:ascii="Times New Roman" w:hAnsi="Times New Roman" w:cs="Times New Roman"/>
          <w:b/>
          <w:sz w:val="24"/>
          <w:szCs w:val="24"/>
        </w:rPr>
      </w:pPr>
      <w:r w:rsidRPr="006C6C3B">
        <w:rPr>
          <w:rFonts w:ascii="Times New Roman" w:hAnsi="Times New Roman" w:cs="Times New Roman"/>
          <w:b/>
          <w:sz w:val="24"/>
          <w:szCs w:val="24"/>
        </w:rPr>
        <w:br w:type="page"/>
      </w:r>
    </w:p>
    <w:p w:rsidR="00165AB9" w:rsidRPr="006C6C3B" w:rsidRDefault="00ED67C1" w:rsidP="006C6C3B">
      <w:pPr>
        <w:spacing w:after="0" w:line="240" w:lineRule="auto"/>
        <w:jc w:val="center"/>
        <w:rPr>
          <w:rFonts w:ascii="Times New Roman" w:hAnsi="Times New Roman" w:cs="Times New Roman"/>
          <w:b/>
          <w:sz w:val="24"/>
          <w:szCs w:val="24"/>
        </w:rPr>
      </w:pPr>
      <w:r w:rsidRPr="006C6C3B">
        <w:rPr>
          <w:rFonts w:ascii="Times New Roman" w:hAnsi="Times New Roman" w:cs="Times New Roman"/>
          <w:b/>
          <w:sz w:val="24"/>
          <w:szCs w:val="24"/>
        </w:rPr>
        <w:lastRenderedPageBreak/>
        <w:t>3</w:t>
      </w:r>
      <w:r w:rsidR="00165AB9" w:rsidRPr="006C6C3B">
        <w:rPr>
          <w:rFonts w:ascii="Times New Roman" w:hAnsi="Times New Roman" w:cs="Times New Roman"/>
          <w:b/>
          <w:sz w:val="24"/>
          <w:szCs w:val="24"/>
        </w:rPr>
        <w:t>. MODULIŲ APRAŠAI</w:t>
      </w:r>
    </w:p>
    <w:p w:rsidR="001A2C0F" w:rsidRPr="006C6C3B" w:rsidRDefault="001A2C0F" w:rsidP="006C6C3B">
      <w:pPr>
        <w:widowControl w:val="0"/>
        <w:spacing w:after="0" w:line="240" w:lineRule="auto"/>
        <w:rPr>
          <w:rFonts w:ascii="Times New Roman" w:hAnsi="Times New Roman" w:cs="Times New Roman"/>
          <w:sz w:val="24"/>
          <w:szCs w:val="24"/>
        </w:rPr>
      </w:pPr>
    </w:p>
    <w:p w:rsidR="00937C19" w:rsidRPr="006C6C3B" w:rsidRDefault="00937C19" w:rsidP="006C6C3B">
      <w:pPr>
        <w:widowControl w:val="0"/>
        <w:spacing w:after="0" w:line="240" w:lineRule="auto"/>
        <w:rPr>
          <w:rFonts w:ascii="Times New Roman" w:hAnsi="Times New Roman" w:cs="Times New Roman"/>
          <w:b/>
          <w:sz w:val="24"/>
          <w:szCs w:val="24"/>
        </w:rPr>
      </w:pPr>
      <w:r w:rsidRPr="006C6C3B">
        <w:rPr>
          <w:rFonts w:ascii="Times New Roman" w:hAnsi="Times New Roman" w:cs="Times New Roman"/>
          <w:b/>
          <w:sz w:val="24"/>
          <w:szCs w:val="24"/>
        </w:rPr>
        <w:t>Modulio pavadinimas – „</w:t>
      </w:r>
      <w:r w:rsidR="00CB4113" w:rsidRPr="006C6C3B">
        <w:rPr>
          <w:rFonts w:ascii="Times New Roman" w:hAnsi="Times New Roman" w:cs="Times New Roman"/>
          <w:b/>
          <w:bCs/>
          <w:iCs/>
          <w:sz w:val="24"/>
          <w:szCs w:val="24"/>
        </w:rPr>
        <w:t>Surinktų lazerių optinių ir mechaninių įtaisų ar pagamintų komponentų testavimas ir išbandymas pagal nustatytas procedūras</w:t>
      </w:r>
      <w:r w:rsidR="00CB4113" w:rsidRPr="006C6C3B">
        <w:rPr>
          <w:rFonts w:ascii="Times New Roman" w:hAnsi="Times New Roman" w:cs="Times New Roman"/>
          <w:b/>
          <w:sz w:val="24"/>
          <w:szCs w:val="24"/>
        </w:rPr>
        <w:t xml:space="preserve"> </w:t>
      </w:r>
      <w:r w:rsidR="00904EBC" w:rsidRPr="006C6C3B">
        <w:rPr>
          <w:rFonts w:ascii="Times New Roman" w:hAnsi="Times New Roman" w:cs="Times New Roman"/>
          <w:b/>
          <w:sz w:val="24"/>
          <w:szCs w:val="24"/>
        </w:rPr>
        <w:t>(N)</w:t>
      </w:r>
      <w:r w:rsidRPr="006C6C3B">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6C6C3B" w:rsidTr="00620311">
        <w:trPr>
          <w:trHeight w:val="57"/>
          <w:jc w:val="center"/>
        </w:trPr>
        <w:tc>
          <w:tcPr>
            <w:tcW w:w="947" w:type="pct"/>
          </w:tcPr>
          <w:p w:rsidR="00937C19" w:rsidRPr="006C6C3B" w:rsidRDefault="00937C19" w:rsidP="006C6C3B">
            <w:pPr>
              <w:pStyle w:val="NoSpacing"/>
              <w:widowControl w:val="0"/>
            </w:pPr>
            <w:r w:rsidRPr="006C6C3B">
              <w:t>Valstybinis kodas</w:t>
            </w:r>
          </w:p>
        </w:tc>
        <w:tc>
          <w:tcPr>
            <w:tcW w:w="4053" w:type="pct"/>
            <w:gridSpan w:val="2"/>
          </w:tcPr>
          <w:p w:rsidR="00937C19" w:rsidRPr="006C6C3B" w:rsidRDefault="00D965E2" w:rsidP="006C6C3B">
            <w:pPr>
              <w:pStyle w:val="NoSpacing"/>
              <w:widowControl w:val="0"/>
            </w:pPr>
            <w:r>
              <w:t>307140009</w:t>
            </w:r>
          </w:p>
        </w:tc>
      </w:tr>
      <w:tr w:rsidR="00937C19" w:rsidRPr="006C6C3B" w:rsidTr="00620311">
        <w:trPr>
          <w:trHeight w:val="57"/>
          <w:jc w:val="center"/>
        </w:trPr>
        <w:tc>
          <w:tcPr>
            <w:tcW w:w="947" w:type="pct"/>
          </w:tcPr>
          <w:p w:rsidR="00937C19" w:rsidRPr="006C6C3B" w:rsidRDefault="00937C19" w:rsidP="006C6C3B">
            <w:pPr>
              <w:pStyle w:val="NoSpacing"/>
              <w:widowControl w:val="0"/>
            </w:pPr>
            <w:r w:rsidRPr="006C6C3B">
              <w:t>Modulio LTKS lygis</w:t>
            </w:r>
          </w:p>
        </w:tc>
        <w:tc>
          <w:tcPr>
            <w:tcW w:w="4053" w:type="pct"/>
            <w:gridSpan w:val="2"/>
          </w:tcPr>
          <w:p w:rsidR="00937C19" w:rsidRPr="006C6C3B" w:rsidRDefault="00BC7121" w:rsidP="006C6C3B">
            <w:pPr>
              <w:pStyle w:val="NoSpacing"/>
              <w:widowControl w:val="0"/>
            </w:pPr>
            <w:r w:rsidRPr="006C6C3B">
              <w:t>III</w:t>
            </w:r>
          </w:p>
        </w:tc>
      </w:tr>
      <w:tr w:rsidR="00937C19" w:rsidRPr="006C6C3B" w:rsidTr="00620311">
        <w:trPr>
          <w:trHeight w:val="57"/>
          <w:jc w:val="center"/>
        </w:trPr>
        <w:tc>
          <w:tcPr>
            <w:tcW w:w="947" w:type="pct"/>
          </w:tcPr>
          <w:p w:rsidR="00937C19" w:rsidRPr="006C6C3B" w:rsidRDefault="00937C19" w:rsidP="006C6C3B">
            <w:pPr>
              <w:pStyle w:val="NoSpacing"/>
              <w:widowControl w:val="0"/>
            </w:pPr>
            <w:r w:rsidRPr="006C6C3B">
              <w:t>Apimtis mokymosi kreditais</w:t>
            </w:r>
          </w:p>
        </w:tc>
        <w:tc>
          <w:tcPr>
            <w:tcW w:w="4053" w:type="pct"/>
            <w:gridSpan w:val="2"/>
          </w:tcPr>
          <w:p w:rsidR="00937C19" w:rsidRPr="006C6C3B" w:rsidRDefault="00BC7121" w:rsidP="006C6C3B">
            <w:pPr>
              <w:pStyle w:val="NoSpacing"/>
              <w:widowControl w:val="0"/>
            </w:pPr>
            <w:r w:rsidRPr="006C6C3B">
              <w:t>15</w:t>
            </w:r>
          </w:p>
        </w:tc>
      </w:tr>
      <w:tr w:rsidR="00377797" w:rsidRPr="006C6C3B" w:rsidTr="00620311">
        <w:trPr>
          <w:trHeight w:val="57"/>
          <w:jc w:val="center"/>
        </w:trPr>
        <w:tc>
          <w:tcPr>
            <w:tcW w:w="947" w:type="pct"/>
            <w:shd w:val="clear" w:color="auto" w:fill="F2F2F2"/>
          </w:tcPr>
          <w:p w:rsidR="00377797" w:rsidRPr="006C6C3B" w:rsidRDefault="00377797" w:rsidP="006C6C3B">
            <w:pPr>
              <w:pStyle w:val="NoSpacing"/>
              <w:widowControl w:val="0"/>
              <w:rPr>
                <w:bCs/>
                <w:iCs/>
              </w:rPr>
            </w:pPr>
            <w:r w:rsidRPr="006C6C3B">
              <w:t>Kompetencijos</w:t>
            </w:r>
          </w:p>
        </w:tc>
        <w:tc>
          <w:tcPr>
            <w:tcW w:w="1129" w:type="pct"/>
            <w:shd w:val="clear" w:color="auto" w:fill="F2F2F2"/>
          </w:tcPr>
          <w:p w:rsidR="00377797" w:rsidRPr="006C6C3B" w:rsidRDefault="00377797" w:rsidP="006C6C3B">
            <w:pPr>
              <w:pStyle w:val="NoSpacing"/>
              <w:widowControl w:val="0"/>
              <w:rPr>
                <w:bCs/>
                <w:iCs/>
              </w:rPr>
            </w:pPr>
            <w:r w:rsidRPr="006C6C3B">
              <w:rPr>
                <w:bCs/>
                <w:iCs/>
              </w:rPr>
              <w:t>Mokymosi rezultatai</w:t>
            </w:r>
          </w:p>
        </w:tc>
        <w:tc>
          <w:tcPr>
            <w:tcW w:w="2924" w:type="pct"/>
            <w:shd w:val="clear" w:color="auto" w:fill="F2F2F2"/>
          </w:tcPr>
          <w:p w:rsidR="00377797" w:rsidRPr="006C6C3B" w:rsidRDefault="00377797" w:rsidP="006C6C3B">
            <w:pPr>
              <w:pStyle w:val="NoSpacing"/>
              <w:widowControl w:val="0"/>
              <w:rPr>
                <w:bCs/>
                <w:iCs/>
              </w:rPr>
            </w:pPr>
            <w:r w:rsidRPr="006C6C3B">
              <w:rPr>
                <w:bCs/>
                <w:iCs/>
              </w:rPr>
              <w:t>Rekomenduojamas turinys mokymosi rezultatams pasiekti</w:t>
            </w:r>
          </w:p>
        </w:tc>
      </w:tr>
      <w:tr w:rsidR="00510D0F" w:rsidRPr="006C6C3B" w:rsidTr="00100907">
        <w:trPr>
          <w:trHeight w:val="1270"/>
          <w:jc w:val="center"/>
        </w:trPr>
        <w:tc>
          <w:tcPr>
            <w:tcW w:w="947" w:type="pct"/>
            <w:vMerge w:val="restart"/>
          </w:tcPr>
          <w:p w:rsidR="00510D0F" w:rsidRPr="006C6C3B" w:rsidRDefault="00510D0F" w:rsidP="006C6C3B">
            <w:pPr>
              <w:pStyle w:val="NoSpacing"/>
              <w:widowControl w:val="0"/>
            </w:pPr>
            <w:r w:rsidRPr="006C6C3B">
              <w:t>1.</w:t>
            </w:r>
            <w:r w:rsidR="00111977" w:rsidRPr="006C6C3B">
              <w:t xml:space="preserve"> </w:t>
            </w:r>
            <w:r w:rsidR="00111977" w:rsidRPr="006C6C3B">
              <w:rPr>
                <w:bCs/>
                <w:iCs/>
              </w:rPr>
              <w:t>Tikrinti, ar surinkti lazerių optiniai ir mechaniniai įtaisai ir pagaminti jų komponentai neturi defektų ir ar atitinka techninius reikalavimus</w:t>
            </w:r>
            <w:r w:rsidRPr="006C6C3B">
              <w:t>.</w:t>
            </w:r>
          </w:p>
        </w:tc>
        <w:tc>
          <w:tcPr>
            <w:tcW w:w="1129" w:type="pct"/>
          </w:tcPr>
          <w:p w:rsidR="00510D0F" w:rsidRPr="006C6C3B" w:rsidRDefault="00510D0F" w:rsidP="00D82ABF">
            <w:pPr>
              <w:pStyle w:val="NoSpacing"/>
              <w:widowControl w:val="0"/>
            </w:pPr>
            <w:r w:rsidRPr="006C6C3B">
              <w:t>1.1.</w:t>
            </w:r>
            <w:r w:rsidR="00111977" w:rsidRPr="006C6C3B">
              <w:t xml:space="preserve"> </w:t>
            </w:r>
            <w:r w:rsidR="00D82ABF">
              <w:t>Apibūdinti lazerių optinių, mechaninių komponentų ir surinktų mazgų kokybės kontrolės įrangą.</w:t>
            </w:r>
          </w:p>
        </w:tc>
        <w:tc>
          <w:tcPr>
            <w:tcW w:w="2924" w:type="pct"/>
          </w:tcPr>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Lazerinių optinių, elektroninių ir mechaninių įtaisų ir pagamintų jų komponentų kokybės parametrai ir jų nuokrypio ribos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Paviršių švarumo (</w:t>
            </w:r>
            <w:r w:rsidRPr="00DA2342">
              <w:rPr>
                <w:rFonts w:ascii="Times New Roman" w:hAnsi="Times New Roman" w:cs="Times New Roman"/>
                <w:bCs/>
                <w:i/>
                <w:sz w:val="24"/>
                <w:szCs w:val="24"/>
              </w:rPr>
              <w:t>scratch-dig</w:t>
            </w:r>
            <w:r w:rsidRPr="006C6C3B">
              <w:rPr>
                <w:rFonts w:ascii="Times New Roman" w:hAnsi="Times New Roman" w:cs="Times New Roman"/>
                <w:bCs/>
                <w:sz w:val="24"/>
                <w:szCs w:val="24"/>
              </w:rPr>
              <w:t>), šiurkštumo, geometriniai parametrai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Dangų parametrai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Mechaninių komponentų atitikties parametrai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Elektroninių</w:t>
            </w:r>
            <w:r w:rsidRPr="006C6C3B">
              <w:rPr>
                <w:rFonts w:ascii="Times New Roman" w:hAnsi="Times New Roman" w:cs="Times New Roman"/>
                <w:sz w:val="24"/>
                <w:szCs w:val="24"/>
              </w:rPr>
              <w:t xml:space="preserve"> komponentų atitikties parametrai</w:t>
            </w:r>
          </w:p>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Kokybės matavimo prietaisai ir įranga, jų veikimo principai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Saugaus darbo su optiniais ir lazeriniais prietaisais instrukcijos ir jų taikymas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Ilgio matavimo prietaisai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Paviršių švarumo kontrolės prietaisai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Paviršių geometrinių parametrų matavimo prietaisai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Spektrinių charakteristikų matavimo prietaisai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Lazerio spinduliuotės kontrolės prietaisai</w:t>
            </w:r>
          </w:p>
          <w:p w:rsidR="00111977" w:rsidRPr="006C6C3B" w:rsidRDefault="00111977" w:rsidP="006C6C3B">
            <w:pPr>
              <w:pStyle w:val="ListParagraph"/>
              <w:widowControl w:val="0"/>
              <w:numPr>
                <w:ilvl w:val="0"/>
                <w:numId w:val="9"/>
              </w:numP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Matavimo prietaisų programinė įranga</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Matavimams naudojamos kokybės valdymo IT sistemos ir programinė įranga</w:t>
            </w:r>
          </w:p>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Elektros matavimo prietaisai ir įranga</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Saugaus darbo su elektros matavimo prietaisais instrukcijos ir jų taikymas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Voltmetrai, ampermetrai, multimetrai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Oscilografai</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sz w:val="24"/>
                <w:szCs w:val="24"/>
              </w:rPr>
            </w:pPr>
            <w:r w:rsidRPr="006C6C3B">
              <w:rPr>
                <w:rFonts w:ascii="Times New Roman" w:hAnsi="Times New Roman" w:cs="Times New Roman"/>
                <w:bCs/>
                <w:sz w:val="24"/>
                <w:szCs w:val="24"/>
              </w:rPr>
              <w:t>Iki 20 kV mažos srovės įtampos matavimo priemonės</w:t>
            </w:r>
          </w:p>
          <w:p w:rsidR="00510D0F" w:rsidRPr="006C6C3B" w:rsidRDefault="00111977" w:rsidP="006C6C3B">
            <w:pPr>
              <w:pStyle w:val="ListParagraph"/>
              <w:widowControl w:val="0"/>
              <w:numPr>
                <w:ilvl w:val="0"/>
                <w:numId w:val="9"/>
              </w:numP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Naudojamos įrangos energijos ir vandens naudojimo efektyvumo ir produktyvumo užtikrinimo priemonės ir būdai</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6C6C3B">
            <w:pPr>
              <w:pStyle w:val="NoSpacing"/>
              <w:widowControl w:val="0"/>
            </w:pPr>
            <w:r w:rsidRPr="006C6C3B">
              <w:t xml:space="preserve">1.2. Atlikti lazerių optinių, mechaninių komponentų ir surinktų įtaisų testavimą ir </w:t>
            </w:r>
            <w:r w:rsidRPr="006C6C3B">
              <w:lastRenderedPageBreak/>
              <w:t>išbandymą.</w:t>
            </w:r>
          </w:p>
        </w:tc>
        <w:tc>
          <w:tcPr>
            <w:tcW w:w="2924" w:type="pct"/>
          </w:tcPr>
          <w:p w:rsidR="00111977" w:rsidRPr="006C6C3B" w:rsidRDefault="00111977" w:rsidP="006C6C3B">
            <w:pPr>
              <w:widowControl w:val="0"/>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lastRenderedPageBreak/>
              <w:t xml:space="preserve">Tema. </w:t>
            </w:r>
            <w:r w:rsidRPr="006C6C3B">
              <w:rPr>
                <w:rFonts w:ascii="Times New Roman" w:hAnsi="Times New Roman" w:cs="Times New Roman"/>
                <w:b/>
                <w:bCs/>
                <w:i/>
                <w:iCs/>
                <w:sz w:val="24"/>
                <w:szCs w:val="24"/>
              </w:rPr>
              <w:t>Pagamintų lazerių optinių komponentų testavimo ir išbandymo procedūros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 xml:space="preserve">Perskaitytų lazerių optinių ir mechaninių įtaisų ir jų komponentų testavimo ir bandymo dokumentacijos ir standartinio darbo aprašo naudojimas testavimo ir išbandymo procedūrų </w:t>
            </w:r>
            <w:r w:rsidRPr="006C6C3B">
              <w:rPr>
                <w:rFonts w:ascii="Times New Roman" w:hAnsi="Times New Roman" w:cs="Times New Roman"/>
                <w:bCs/>
                <w:sz w:val="24"/>
                <w:szCs w:val="24"/>
              </w:rPr>
              <w:lastRenderedPageBreak/>
              <w:t>metu</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Kokybės valdymo IT sistemų ir programinės įrangos naudojimas testavimo ir išbandymo procedūrų metu</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Geometrinių parametrų matavimas naudojantis slankmačiu, mikrometru</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elementų paviršiaus švarumo parametro (</w:t>
            </w:r>
            <w:r w:rsidRPr="006C6C3B">
              <w:rPr>
                <w:rFonts w:ascii="Times New Roman" w:hAnsi="Times New Roman" w:cs="Times New Roman"/>
                <w:i/>
                <w:sz w:val="24"/>
                <w:szCs w:val="24"/>
              </w:rPr>
              <w:t>scratch-dig</w:t>
            </w:r>
            <w:r w:rsidRPr="006C6C3B">
              <w:rPr>
                <w:rFonts w:ascii="Times New Roman" w:hAnsi="Times New Roman" w:cs="Times New Roman"/>
                <w:sz w:val="24"/>
                <w:szCs w:val="24"/>
              </w:rPr>
              <w:t>) matavimas naudojantis mikroskopu</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elementų paviršių šiurkštumo parametrų matavimas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bCs/>
                <w:i/>
                <w:iCs/>
                <w:sz w:val="24"/>
                <w:szCs w:val="24"/>
              </w:rPr>
            </w:pPr>
            <w:r w:rsidRPr="006C6C3B">
              <w:rPr>
                <w:rFonts w:ascii="Times New Roman" w:hAnsi="Times New Roman" w:cs="Times New Roman"/>
                <w:sz w:val="24"/>
                <w:szCs w:val="24"/>
              </w:rPr>
              <w:t>Optinių elementų darbinių paviršių geometrijos parametrų matavimas naudojantis optiniu etalonu, interferometru, goniometru ir sferometru</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elementų dangų parametrų matavimas naudojantis spektrofotometru</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ir mechaninių elementų išbandymas klimatinėse kamerose</w:t>
            </w:r>
          </w:p>
          <w:p w:rsidR="00111977" w:rsidRPr="006C6C3B" w:rsidRDefault="00111977" w:rsidP="006C6C3B">
            <w:pPr>
              <w:widowControl w:val="0"/>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Surinktų lazerių optinių sistemų ir įtaisų</w:t>
            </w:r>
            <w:r w:rsidRPr="006C6C3B">
              <w:rPr>
                <w:rFonts w:ascii="Times New Roman" w:hAnsi="Times New Roman" w:cs="Times New Roman"/>
                <w:i/>
                <w:iCs/>
                <w:sz w:val="24"/>
                <w:szCs w:val="24"/>
              </w:rPr>
              <w:t xml:space="preserve"> </w:t>
            </w:r>
            <w:r w:rsidRPr="006C6C3B">
              <w:rPr>
                <w:rFonts w:ascii="Times New Roman" w:hAnsi="Times New Roman" w:cs="Times New Roman"/>
                <w:b/>
                <w:bCs/>
                <w:i/>
                <w:iCs/>
                <w:sz w:val="24"/>
                <w:szCs w:val="24"/>
              </w:rPr>
              <w:t>testavimo ir išbandymo procedūros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113" w:firstLine="113"/>
              <w:contextualSpacing w:val="0"/>
              <w:rPr>
                <w:rFonts w:ascii="Times New Roman" w:hAnsi="Times New Roman" w:cs="Times New Roman"/>
                <w:b/>
                <w:bCs/>
                <w:sz w:val="24"/>
                <w:szCs w:val="24"/>
              </w:rPr>
            </w:pPr>
            <w:r w:rsidRPr="006C6C3B">
              <w:rPr>
                <w:rFonts w:ascii="Times New Roman" w:hAnsi="Times New Roman" w:cs="Times New Roman"/>
                <w:sz w:val="24"/>
                <w:szCs w:val="24"/>
              </w:rPr>
              <w:t>Elektrooptinių kristalų, lazerinių diodų ir jų valdiklių (</w:t>
            </w:r>
            <w:r w:rsidRPr="006C6C3B">
              <w:rPr>
                <w:rFonts w:ascii="Times New Roman" w:hAnsi="Times New Roman" w:cs="Times New Roman"/>
                <w:i/>
                <w:iCs/>
                <w:sz w:val="24"/>
                <w:szCs w:val="24"/>
              </w:rPr>
              <w:t>drivers</w:t>
            </w:r>
            <w:r w:rsidRPr="006C6C3B">
              <w:rPr>
                <w:rFonts w:ascii="Times New Roman" w:hAnsi="Times New Roman" w:cs="Times New Roman"/>
                <w:sz w:val="24"/>
                <w:szCs w:val="24"/>
              </w:rPr>
              <w:t>) išbandymas ir parametrų matavimas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113" w:firstLine="113"/>
              <w:contextualSpacing w:val="0"/>
              <w:rPr>
                <w:rFonts w:ascii="Times New Roman" w:hAnsi="Times New Roman" w:cs="Times New Roman"/>
                <w:sz w:val="24"/>
                <w:szCs w:val="24"/>
              </w:rPr>
            </w:pPr>
            <w:r w:rsidRPr="006C6C3B">
              <w:rPr>
                <w:rFonts w:ascii="Times New Roman" w:hAnsi="Times New Roman" w:cs="Times New Roman"/>
                <w:sz w:val="24"/>
                <w:szCs w:val="24"/>
              </w:rPr>
              <w:t>Aktyvių lazerinių sistemų išbandymas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113" w:firstLine="113"/>
              <w:contextualSpacing w:val="0"/>
              <w:rPr>
                <w:rFonts w:ascii="Times New Roman" w:hAnsi="Times New Roman" w:cs="Times New Roman"/>
                <w:sz w:val="24"/>
                <w:szCs w:val="24"/>
              </w:rPr>
            </w:pPr>
            <w:r w:rsidRPr="006C6C3B">
              <w:rPr>
                <w:rFonts w:ascii="Times New Roman" w:hAnsi="Times New Roman" w:cs="Times New Roman"/>
                <w:sz w:val="24"/>
                <w:szCs w:val="24"/>
              </w:rPr>
              <w:t>Netiesinių kristalų sistemų išbandymas ir parametrų matavimas</w:t>
            </w:r>
          </w:p>
          <w:p w:rsidR="00111977" w:rsidRPr="006C6C3B" w:rsidRDefault="00111977" w:rsidP="006C6C3B">
            <w:pPr>
              <w:pStyle w:val="ListParagraph"/>
              <w:widowControl w:val="0"/>
              <w:numPr>
                <w:ilvl w:val="0"/>
                <w:numId w:val="9"/>
              </w:numPr>
              <w:pBdr>
                <w:top w:val="nil"/>
                <w:left w:val="nil"/>
                <w:bottom w:val="nil"/>
                <w:right w:val="nil"/>
                <w:between w:val="nil"/>
              </w:pBdr>
              <w:spacing w:after="0" w:line="240" w:lineRule="auto"/>
              <w:ind w:left="-113" w:firstLine="113"/>
              <w:contextualSpacing w:val="0"/>
              <w:rPr>
                <w:rFonts w:ascii="Times New Roman" w:hAnsi="Times New Roman" w:cs="Times New Roman"/>
                <w:sz w:val="24"/>
                <w:szCs w:val="24"/>
              </w:rPr>
            </w:pPr>
            <w:r w:rsidRPr="006C6C3B">
              <w:rPr>
                <w:rFonts w:ascii="Times New Roman" w:hAnsi="Times New Roman" w:cs="Times New Roman"/>
                <w:sz w:val="24"/>
                <w:szCs w:val="24"/>
              </w:rPr>
              <w:t>Optomechaninių sistemų išbandymas ir parametrų matavimas</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6C6C3B">
            <w:pPr>
              <w:pStyle w:val="NoSpacing"/>
              <w:widowControl w:val="0"/>
            </w:pPr>
            <w:r w:rsidRPr="006C6C3B">
              <w:t>1.3. Atrinkti lazerių optinius, mechaninius komponentus ir surinktus įtaisus, tenkinančius kokybės ir standartų reikalavimus.</w:t>
            </w:r>
          </w:p>
        </w:tc>
        <w:tc>
          <w:tcPr>
            <w:tcW w:w="2924" w:type="pct"/>
          </w:tcPr>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Lazerių optinių įtaisų bei jų pagamintų komponentų parametrai ir jų nuokrypio ribos pagal ISO 10110,</w:t>
            </w:r>
            <w:r w:rsidRPr="006C6C3B">
              <w:rPr>
                <w:rFonts w:ascii="Times New Roman" w:hAnsi="Times New Roman" w:cs="Times New Roman"/>
                <w:b/>
                <w:bCs/>
                <w:i/>
                <w:iCs/>
                <w:sz w:val="24"/>
                <w:szCs w:val="24"/>
                <w:shd w:val="clear" w:color="auto" w:fill="FFFFFF"/>
              </w:rPr>
              <w:t xml:space="preserve"> MIL-13830A standartus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Paviršiaus švarumo parametro (</w:t>
            </w:r>
            <w:r w:rsidRPr="006C6C3B">
              <w:rPr>
                <w:rFonts w:ascii="Times New Roman" w:hAnsi="Times New Roman" w:cs="Times New Roman"/>
                <w:i/>
                <w:iCs/>
                <w:sz w:val="24"/>
                <w:szCs w:val="24"/>
              </w:rPr>
              <w:t>scratch-dig</w:t>
            </w:r>
            <w:r w:rsidRPr="006C6C3B">
              <w:rPr>
                <w:rFonts w:ascii="Times New Roman" w:hAnsi="Times New Roman" w:cs="Times New Roman"/>
                <w:sz w:val="24"/>
                <w:szCs w:val="24"/>
              </w:rPr>
              <w:t>) nuokrypių ribos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Paviršių šiurkštumo parametrai nuokrypių ribos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Darbinių paviršių geometrijos parametrų nuokrypių ribos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Dangų parametrų nuokrypių ribos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Mechaninių komponentų atitikties parametrų nuokrypio ribos</w:t>
            </w:r>
          </w:p>
          <w:p w:rsidR="00111977" w:rsidRPr="006C6C3B" w:rsidRDefault="00111977" w:rsidP="006C6C3B">
            <w:pPr>
              <w:widowControl w:val="0"/>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Kokybės reikalavimus tenkinančių lazerių optinių ir mechaninių įtaisų bei jų pagamintų komponentų atrinkimas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Matavimo rezultatų priklausomybė nuo matavimo sąlygų, matavimo priemonių darbinių parametrų nustatymo</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bCs/>
                <w:i/>
                <w:iCs/>
                <w:sz w:val="24"/>
                <w:szCs w:val="24"/>
              </w:rPr>
            </w:pPr>
            <w:r w:rsidRPr="006C6C3B">
              <w:rPr>
                <w:rFonts w:ascii="Times New Roman" w:hAnsi="Times New Roman" w:cs="Times New Roman"/>
                <w:sz w:val="24"/>
                <w:szCs w:val="24"/>
              </w:rPr>
              <w:t>Paviršių švarumo parametro (</w:t>
            </w:r>
            <w:r w:rsidRPr="006C6C3B">
              <w:rPr>
                <w:rFonts w:ascii="Times New Roman" w:hAnsi="Times New Roman" w:cs="Times New Roman"/>
                <w:i/>
                <w:sz w:val="24"/>
                <w:szCs w:val="24"/>
              </w:rPr>
              <w:t>scratch-dig</w:t>
            </w:r>
            <w:r w:rsidRPr="006C6C3B">
              <w:rPr>
                <w:rFonts w:ascii="Times New Roman" w:hAnsi="Times New Roman" w:cs="Times New Roman"/>
                <w:sz w:val="24"/>
                <w:szCs w:val="24"/>
              </w:rPr>
              <w:t>), paviršių šiurkštumo, darbinių paviršių geometrijos, optinių dangų parametrų matavimo rezultatų analizė</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Elektrooptinių, aktyvių lazerinių, netiesinių kristalų, optomechaninių sistemų išbandymo ir parametrų matavimo rezultatų analizė</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Išbandymo ir matavimo rezultatų lyginimas su kokybės ir standartų reikalavimais,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lastRenderedPageBreak/>
              <w:t>Reikalavimus atitinkančių lazerių optinių ir mechaninių įtaisų bei jų pagamintų komponentų atrinkimas</w:t>
            </w:r>
          </w:p>
          <w:p w:rsidR="00111977" w:rsidRPr="006C6C3B" w:rsidRDefault="00111977" w:rsidP="006C6C3B">
            <w:pPr>
              <w:pStyle w:val="ListParagraph"/>
              <w:widowControl w:val="0"/>
              <w:numPr>
                <w:ilvl w:val="0"/>
                <w:numId w:val="10"/>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Įtaisų ir komponentų atrinkimas naudojantis prietaisų programine įranga</w:t>
            </w:r>
          </w:p>
        </w:tc>
      </w:tr>
      <w:tr w:rsidR="00111977" w:rsidRPr="006C6C3B" w:rsidTr="00620311">
        <w:trPr>
          <w:trHeight w:val="57"/>
          <w:jc w:val="center"/>
        </w:trPr>
        <w:tc>
          <w:tcPr>
            <w:tcW w:w="947" w:type="pct"/>
            <w:vMerge w:val="restart"/>
          </w:tcPr>
          <w:p w:rsidR="00111977" w:rsidRPr="006C6C3B" w:rsidRDefault="00111977" w:rsidP="006C6C3B">
            <w:pPr>
              <w:pStyle w:val="NoSpacing"/>
              <w:widowControl w:val="0"/>
            </w:pPr>
            <w:r w:rsidRPr="006C6C3B">
              <w:lastRenderedPageBreak/>
              <w:t xml:space="preserve">2. </w:t>
            </w:r>
            <w:r w:rsidRPr="006C6C3B">
              <w:rPr>
                <w:bCs/>
                <w:iCs/>
              </w:rPr>
              <w:t>Pašalinti lazerių optinių ir mechaninių įtaisų surinkimo ir jų komponentų gamybos metu atsiradusius defektus.</w:t>
            </w:r>
          </w:p>
        </w:tc>
        <w:tc>
          <w:tcPr>
            <w:tcW w:w="1129" w:type="pct"/>
          </w:tcPr>
          <w:p w:rsidR="00111977" w:rsidRPr="006C6C3B" w:rsidRDefault="00111977" w:rsidP="006C6C3B">
            <w:pPr>
              <w:pStyle w:val="NoSpacing"/>
              <w:widowControl w:val="0"/>
              <w:tabs>
                <w:tab w:val="left" w:pos="870"/>
              </w:tabs>
            </w:pPr>
            <w:r w:rsidRPr="006C6C3B">
              <w:t>2.1. Apibūdinti lazerių optinių ir mechaninių įtaisų surinkimo ir jų komponentų gamybos metu atsirandančius defektus.</w:t>
            </w:r>
          </w:p>
        </w:tc>
        <w:tc>
          <w:tcPr>
            <w:tcW w:w="2924" w:type="pct"/>
          </w:tcPr>
          <w:p w:rsidR="00111977" w:rsidRPr="006C6C3B" w:rsidRDefault="00111977" w:rsidP="006C6C3B">
            <w:pPr>
              <w:widowControl w:val="0"/>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Būdingi lazerių optinių ir mechaninių įtaisų surinkimo ir jų komponentų gamybos metu atsirandantys defektai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elementų paviršiaus, geometrinių parametrų, kokybės, spektrinių charakteristikų defektai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Mechaninių elementų defektai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Surinktų lazerių optinių ir mechaninių įtaisų defektai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Surinktų elektrooptinių, aktyvių, netiesinių įtaisų ir jų valdiklių (</w:t>
            </w:r>
            <w:r w:rsidRPr="006C6C3B">
              <w:rPr>
                <w:rFonts w:ascii="Times New Roman" w:hAnsi="Times New Roman" w:cs="Times New Roman"/>
                <w:i/>
                <w:iCs/>
                <w:sz w:val="24"/>
                <w:szCs w:val="24"/>
              </w:rPr>
              <w:t>drivers</w:t>
            </w:r>
            <w:r w:rsidRPr="006C6C3B">
              <w:rPr>
                <w:rFonts w:ascii="Times New Roman" w:hAnsi="Times New Roman" w:cs="Times New Roman"/>
                <w:sz w:val="24"/>
                <w:szCs w:val="24"/>
              </w:rPr>
              <w:t>) defektai</w:t>
            </w:r>
          </w:p>
          <w:p w:rsidR="00111977" w:rsidRPr="006C6C3B" w:rsidRDefault="00111977" w:rsidP="006C6C3B">
            <w:pPr>
              <w:widowControl w:val="0"/>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Lazerių optinių ir mechaninių įtaisų surinkimo ir jų komponentų gamybos metu atsirandančių defektų įtaka lazerių ir optinių prietaisų veikimui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elementų paviršiaus, geometrinių parametrų kokybės, spektrinių charakteristikų defektų įtaka lazerių ir optinių prietaisų veikimui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Mechaninių elementų defektų įtaka lazerių ir optinių prietaisų veikimui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Surinktų lazerių optinių ir mechaninių įtaisų defektų įtaka lazerių ir optinių prietaisų veikimui</w:t>
            </w:r>
          </w:p>
          <w:p w:rsidR="00111977" w:rsidRPr="006C6C3B" w:rsidRDefault="00111977" w:rsidP="006C6C3B">
            <w:pPr>
              <w:pStyle w:val="ListParagraph"/>
              <w:widowControl w:val="0"/>
              <w:numPr>
                <w:ilvl w:val="0"/>
                <w:numId w:val="11"/>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Lazerių optinių ir mechaninių įtaisų defektai</w:t>
            </w:r>
          </w:p>
          <w:p w:rsidR="00111977" w:rsidRPr="006C6C3B" w:rsidRDefault="00111977" w:rsidP="006C6C3B">
            <w:pPr>
              <w:pStyle w:val="ListParagraph"/>
              <w:widowControl w:val="0"/>
              <w:pBdr>
                <w:top w:val="nil"/>
                <w:left w:val="nil"/>
                <w:bottom w:val="nil"/>
                <w:right w:val="nil"/>
                <w:between w:val="nil"/>
              </w:pBdr>
              <w:spacing w:after="0" w:line="240" w:lineRule="auto"/>
              <w:ind w:left="0"/>
              <w:contextualSpacing w:val="0"/>
              <w:rPr>
                <w:rFonts w:ascii="Times New Roman" w:hAnsi="Times New Roman" w:cs="Times New Roman"/>
                <w:sz w:val="24"/>
                <w:szCs w:val="24"/>
              </w:rPr>
            </w:pPr>
            <w:r w:rsidRPr="006C6C3B">
              <w:rPr>
                <w:rFonts w:ascii="Times New Roman" w:hAnsi="Times New Roman" w:cs="Times New Roman"/>
                <w:sz w:val="24"/>
                <w:szCs w:val="24"/>
              </w:rPr>
              <w:t>Surinktų elektrooptinių, aktyvių, netiesinių įtaisų ir jų valdiklių (</w:t>
            </w:r>
            <w:r w:rsidRPr="006C6C3B">
              <w:rPr>
                <w:rFonts w:ascii="Times New Roman" w:hAnsi="Times New Roman" w:cs="Times New Roman"/>
                <w:i/>
                <w:iCs/>
                <w:sz w:val="24"/>
                <w:szCs w:val="24"/>
              </w:rPr>
              <w:t>drivers</w:t>
            </w:r>
            <w:r w:rsidRPr="006C6C3B">
              <w:rPr>
                <w:rFonts w:ascii="Times New Roman" w:hAnsi="Times New Roman" w:cs="Times New Roman"/>
                <w:sz w:val="24"/>
                <w:szCs w:val="24"/>
              </w:rPr>
              <w:t>) defektų įtaka lazerių ir optinių prietaisų veikimui</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6C6C3B">
            <w:pPr>
              <w:pStyle w:val="NoSpacing"/>
              <w:widowControl w:val="0"/>
            </w:pPr>
            <w:r w:rsidRPr="006C6C3B">
              <w:t>2.2. Šalinti defektus pagal iš anksto nustatytus darbo aprašus ir defektų šalinimo procedūrų aprašymus.</w:t>
            </w:r>
          </w:p>
        </w:tc>
        <w:tc>
          <w:tcPr>
            <w:tcW w:w="2924" w:type="pct"/>
          </w:tcPr>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highlight w:val="white"/>
              </w:rPr>
              <w:t xml:space="preserve">Tema. </w:t>
            </w:r>
            <w:r w:rsidRPr="006C6C3B">
              <w:rPr>
                <w:rFonts w:ascii="Times New Roman" w:hAnsi="Times New Roman" w:cs="Times New Roman"/>
                <w:b/>
                <w:bCs/>
                <w:i/>
                <w:iCs/>
                <w:sz w:val="24"/>
                <w:szCs w:val="24"/>
              </w:rPr>
              <w:t>Defektų šalinimo darbo aplinkos, priemonių, įrankių parinkimas</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Darbo patalpų švarumo zonų, darbuotojo aprangos pasirinkimas pagal perskaitytas technines dokumentacijas ir standartinį darbo aprašą</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Lazerių optinių ir mechaninių įtaisų, jų komponentų, darbo priemonių perdavimas / grąžinimas į / iš švarių zonų patalpų</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Darbo priemonių, įrankių pasirinkimas pagal nustatytus defektus, techninę dokumentaciją ir darbo aprašus</w:t>
            </w:r>
          </w:p>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sz w:val="24"/>
                <w:szCs w:val="24"/>
              </w:rPr>
            </w:pPr>
            <w:r w:rsidRPr="006C6C3B">
              <w:rPr>
                <w:rFonts w:ascii="Times New Roman" w:hAnsi="Times New Roman" w:cs="Times New Roman"/>
                <w:b/>
                <w:bCs/>
                <w:sz w:val="24"/>
                <w:szCs w:val="24"/>
                <w:highlight w:val="white"/>
              </w:rPr>
              <w:t xml:space="preserve">Tema. </w:t>
            </w:r>
            <w:r w:rsidRPr="006C6C3B">
              <w:rPr>
                <w:rFonts w:ascii="Times New Roman" w:hAnsi="Times New Roman" w:cs="Times New Roman"/>
                <w:b/>
                <w:bCs/>
                <w:i/>
                <w:iCs/>
                <w:sz w:val="24"/>
                <w:szCs w:val="24"/>
              </w:rPr>
              <w:t>Defektų šalinimas</w:t>
            </w:r>
            <w:r w:rsidRPr="006C6C3B">
              <w:rPr>
                <w:rFonts w:ascii="Times New Roman" w:hAnsi="Times New Roman" w:cs="Times New Roman"/>
                <w:i/>
                <w:iCs/>
                <w:sz w:val="24"/>
                <w:szCs w:val="24"/>
              </w:rPr>
              <w:t xml:space="preserve"> </w:t>
            </w:r>
            <w:r w:rsidRPr="006C6C3B">
              <w:rPr>
                <w:rFonts w:ascii="Times New Roman" w:hAnsi="Times New Roman" w:cs="Times New Roman"/>
                <w:b/>
                <w:bCs/>
                <w:i/>
                <w:iCs/>
                <w:sz w:val="24"/>
                <w:szCs w:val="24"/>
              </w:rPr>
              <w:t>pagal darbo aprašus ir defektų šalinimo procedūrų aprašymus</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ir mechaninių komponentų ir surinktų įtaisų defektų šalinimo procedūros ir sekos</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Lazerių optinių ir mechaninių įtaisų bei sistemų išmontavimas</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Lazerių optinių ir mechaninių komponentų ir surinktų įtaisų defektų šalinimas naudojantis defektų šalinimo procedūrų ir sekų reikalavimais</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 xml:space="preserve">Optinių ir mechaninių paviršių mechaninis valymas cheminėmis medžiagomis atlikus </w:t>
            </w:r>
            <w:r w:rsidRPr="006C6C3B">
              <w:rPr>
                <w:rFonts w:ascii="Times New Roman" w:hAnsi="Times New Roman" w:cs="Times New Roman"/>
                <w:bCs/>
                <w:sz w:val="24"/>
                <w:szCs w:val="24"/>
              </w:rPr>
              <w:lastRenderedPageBreak/>
              <w:t>įtaisų išmontavimą</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bCs/>
                <w:sz w:val="24"/>
                <w:szCs w:val="24"/>
              </w:rPr>
              <w:t>Optinių ir mechaninių paviršių valymas ultragarsinio plovimo mašinomis atlikus įtaisų išmontavimą</w:t>
            </w:r>
          </w:p>
          <w:p w:rsidR="00111977" w:rsidRPr="006C6C3B" w:rsidRDefault="00111977" w:rsidP="006C6C3B">
            <w:pPr>
              <w:pStyle w:val="ListParagraph"/>
              <w:widowControl w:val="0"/>
              <w:numPr>
                <w:ilvl w:val="0"/>
                <w:numId w:val="12"/>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 xml:space="preserve">Atliekų rūšiavimas, sutvarkymas ir utilizavimas, darbo aplinkos sutvarkymas naudojantis įmonės taršos aplinkai valdymo vidinėmis procedūromis pagal </w:t>
            </w:r>
            <w:r w:rsidRPr="006C6C3B">
              <w:rPr>
                <w:rFonts w:ascii="Times New Roman" w:hAnsi="Times New Roman" w:cs="Times New Roman"/>
                <w:color w:val="000000"/>
                <w:sz w:val="24"/>
                <w:szCs w:val="24"/>
                <w:shd w:val="clear" w:color="auto" w:fill="FFFFFF"/>
              </w:rPr>
              <w:t>ISO 14001:2015 aplinkos apsaugos vadybos standartą</w:t>
            </w:r>
          </w:p>
        </w:tc>
      </w:tr>
      <w:tr w:rsidR="00111977" w:rsidRPr="006C6C3B" w:rsidTr="00620311">
        <w:trPr>
          <w:trHeight w:val="57"/>
          <w:jc w:val="center"/>
        </w:trPr>
        <w:tc>
          <w:tcPr>
            <w:tcW w:w="947" w:type="pct"/>
            <w:vMerge/>
          </w:tcPr>
          <w:p w:rsidR="00111977" w:rsidRPr="006C6C3B" w:rsidRDefault="00111977" w:rsidP="006C6C3B">
            <w:pPr>
              <w:pStyle w:val="NoSpacing"/>
              <w:widowControl w:val="0"/>
            </w:pPr>
          </w:p>
        </w:tc>
        <w:tc>
          <w:tcPr>
            <w:tcW w:w="1129" w:type="pct"/>
          </w:tcPr>
          <w:p w:rsidR="00111977" w:rsidRPr="006C6C3B" w:rsidRDefault="00111977" w:rsidP="006C6C3B">
            <w:pPr>
              <w:pStyle w:val="NoSpacing"/>
              <w:widowControl w:val="0"/>
            </w:pPr>
            <w:r w:rsidRPr="006C6C3B">
              <w:t>2.3. Testuoti lazerių optinius ir mechaninius įtaisus ir jų komponentus po jų defektų pašalinimo.</w:t>
            </w:r>
          </w:p>
        </w:tc>
        <w:tc>
          <w:tcPr>
            <w:tcW w:w="2924" w:type="pct"/>
          </w:tcPr>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i/>
                <w:i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Testavimo po defektų pašalinimo būdai ir procedūros</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Pašalintų nesudėtingų defektų testavimas: vizualinė patikra, patikra naudojantis lupa, mikroskopu</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 xml:space="preserve">Testavimas po optinių, mechaninių ir elektroninių įtaisų išmontavimo: testavimo apimtis, seka, </w:t>
            </w:r>
            <w:r w:rsidRPr="006C6C3B">
              <w:rPr>
                <w:rFonts w:ascii="Times New Roman" w:hAnsi="Times New Roman" w:cs="Times New Roman"/>
                <w:bCs/>
                <w:sz w:val="24"/>
                <w:szCs w:val="24"/>
              </w:rPr>
              <w:t>testavimo ir bandymo dokumentacijos ir standartinio darbo aprašo naudojimas</w:t>
            </w:r>
          </w:p>
          <w:p w:rsidR="00111977" w:rsidRPr="006C6C3B" w:rsidRDefault="00111977" w:rsidP="006C6C3B">
            <w:pPr>
              <w:widowControl w:val="0"/>
              <w:pBdr>
                <w:top w:val="nil"/>
                <w:left w:val="nil"/>
                <w:bottom w:val="nil"/>
                <w:right w:val="nil"/>
                <w:between w:val="nil"/>
              </w:pBdr>
              <w:spacing w:after="0" w:line="240" w:lineRule="auto"/>
              <w:rPr>
                <w:rFonts w:ascii="Times New Roman" w:hAnsi="Times New Roman" w:cs="Times New Roman"/>
                <w:b/>
                <w:bCs/>
                <w:i/>
                <w:iCs/>
                <w:sz w:val="24"/>
                <w:szCs w:val="24"/>
              </w:rPr>
            </w:pPr>
            <w:r w:rsidRPr="006C6C3B">
              <w:rPr>
                <w:rFonts w:ascii="Times New Roman" w:hAnsi="Times New Roman" w:cs="Times New Roman"/>
                <w:b/>
                <w:bCs/>
                <w:sz w:val="24"/>
                <w:szCs w:val="24"/>
              </w:rPr>
              <w:t xml:space="preserve">Tema. </w:t>
            </w:r>
            <w:r w:rsidRPr="006C6C3B">
              <w:rPr>
                <w:rFonts w:ascii="Times New Roman" w:hAnsi="Times New Roman" w:cs="Times New Roman"/>
                <w:b/>
                <w:bCs/>
                <w:i/>
                <w:iCs/>
                <w:sz w:val="24"/>
                <w:szCs w:val="24"/>
              </w:rPr>
              <w:t>Lazerių optinių, elektroninių ir mechaninių įtaisų, jų komponentų testavimas po defektų pašalinimo</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Darbo aplinkos, darbo aprangos, įrankių, priemonių parinkimas</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Matavimo priemonių atrinkimas, darbinių parametrų, atitinkančių šalinamų defektų tipus, nustatymas</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mechaninių ir elektroninių komponentų patikros atlikimas po defektų pašalinimo pagal nustatytas sekas naudojantis atrinkta matavimo įranga</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Lazerių optinių, mechaninių ir elektroninių įtaisų bei sistemų patikros atlikimas po defektų pašalinimo pagal nustatytas sekas naudojantis atrinkta matavimo įranga</w:t>
            </w:r>
          </w:p>
          <w:p w:rsidR="00111977" w:rsidRPr="006C6C3B" w:rsidRDefault="00111977" w:rsidP="006C6C3B">
            <w:pPr>
              <w:pStyle w:val="ListParagraph"/>
              <w:widowControl w:val="0"/>
              <w:spacing w:after="0" w:line="240" w:lineRule="auto"/>
              <w:ind w:left="0"/>
              <w:contextualSpacing w:val="0"/>
              <w:rPr>
                <w:rFonts w:ascii="Times New Roman" w:hAnsi="Times New Roman" w:cs="Times New Roman"/>
                <w:sz w:val="24"/>
                <w:szCs w:val="24"/>
              </w:rPr>
            </w:pPr>
            <w:r w:rsidRPr="006C6C3B">
              <w:rPr>
                <w:rFonts w:ascii="Times New Roman" w:hAnsi="Times New Roman" w:cs="Times New Roman"/>
                <w:sz w:val="24"/>
                <w:szCs w:val="24"/>
              </w:rPr>
              <w:t>Optinių ir mechaninių komponentų, surinktų įtaisų galutinis supakavimas</w:t>
            </w:r>
          </w:p>
        </w:tc>
      </w:tr>
      <w:tr w:rsidR="00111977" w:rsidRPr="006C6C3B" w:rsidTr="00620311">
        <w:trPr>
          <w:trHeight w:val="57"/>
          <w:jc w:val="center"/>
        </w:trPr>
        <w:tc>
          <w:tcPr>
            <w:tcW w:w="947" w:type="pct"/>
          </w:tcPr>
          <w:p w:rsidR="00111977" w:rsidRPr="006C6C3B" w:rsidRDefault="00111977" w:rsidP="006C6C3B">
            <w:pPr>
              <w:pStyle w:val="NoSpacing"/>
              <w:widowControl w:val="0"/>
              <w:rPr>
                <w:highlight w:val="yellow"/>
              </w:rPr>
            </w:pPr>
            <w:r w:rsidRPr="006C6C3B">
              <w:t>Mokymosi pasiekimų vertinimo kriterijai</w:t>
            </w:r>
          </w:p>
        </w:tc>
        <w:tc>
          <w:tcPr>
            <w:tcW w:w="4053" w:type="pct"/>
            <w:gridSpan w:val="2"/>
          </w:tcPr>
          <w:p w:rsidR="00111977" w:rsidRPr="006C6C3B" w:rsidRDefault="00111977" w:rsidP="006C6C3B">
            <w:pPr>
              <w:widowControl w:val="0"/>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Apibūdinta lazerių optinių, mechaninių komponentų ir surinktų mazgų kokybės kontrolės įranga. Atliktas lazerių optinių, mechaninių komponentų ir surinktų įtaisų testavimas ir išbandymas. Atrinkti lazerių optiniai, mechaniniai komponentai ir surinkti įtaisai, tenkinantys kokybės ir standartų reikalavimus. Apibūdinti lazerių optinių ir mechaninių įtaisų surinkimo ir jų komponentų gamybos metu atsirandantys defektai. Defektai pašalinti pagal iš anksto nustatytus darbo aprašus ir defektų šalinimo procedūrų aprašymus. Atliktas lazerių optinių ir mechaninių įtaisų ir jų komponentų testavimas po jų defektų pašalinimo. Darbo metu dėvėti tinkami ir tvarkingi darbo drabužiai ir avalynė, naudotasi asmeninėmis apsaugos priemonėmis. Atliekant darbus, laikytasi darbuotojų saugos ir sveikatos taisyklių, saugaus darbo, ergonomikos, darbo higienos, priešgaisrinės saugos, aplinkosaugos reikalavimų. Baigus darbus įrankiai, medžiagos, priemonės sutvarkytos ir sudėtos į jų saugojimo vietą, pagal geros higienos praktikos taisykles sutvarkyta darbo vieta, atliekos surūšiuotos, sutvarkytos ir utilizuotos pagal aplinkos taršos mažinimo reikalavimus ir procedūras. Atliekant darbus naudotos kokybės valdymo IT sistemos ir programinė įranga.</w:t>
            </w:r>
            <w:r w:rsidRPr="006C6C3B">
              <w:rPr>
                <w:rFonts w:ascii="Times New Roman" w:hAnsi="Times New Roman" w:cs="Times New Roman"/>
                <w:bCs/>
                <w:sz w:val="24"/>
                <w:szCs w:val="24"/>
              </w:rPr>
              <w:t xml:space="preserve"> Atliekant darbus naudoti </w:t>
            </w:r>
            <w:r w:rsidRPr="006C6C3B">
              <w:rPr>
                <w:rFonts w:ascii="Times New Roman" w:hAnsi="Times New Roman" w:cs="Times New Roman"/>
                <w:sz w:val="24"/>
                <w:szCs w:val="24"/>
              </w:rPr>
              <w:t>energijos ir vandens naudojimo efektyvumo ir produktyvumo užtikrinimo būdai ir priemonės.</w:t>
            </w:r>
          </w:p>
        </w:tc>
      </w:tr>
      <w:tr w:rsidR="00111977" w:rsidRPr="006C6C3B" w:rsidTr="00620311">
        <w:trPr>
          <w:trHeight w:val="57"/>
          <w:jc w:val="center"/>
        </w:trPr>
        <w:tc>
          <w:tcPr>
            <w:tcW w:w="947" w:type="pct"/>
          </w:tcPr>
          <w:p w:rsidR="00111977" w:rsidRPr="006C6C3B" w:rsidRDefault="00111977" w:rsidP="006C6C3B">
            <w:pPr>
              <w:pStyle w:val="2vidutinistinklelis1"/>
              <w:widowControl w:val="0"/>
            </w:pPr>
            <w:r w:rsidRPr="006C6C3B">
              <w:t xml:space="preserve">Reikalavimai mokymui skirtiems metodiniams ir </w:t>
            </w:r>
            <w:r w:rsidRPr="006C6C3B">
              <w:lastRenderedPageBreak/>
              <w:t>materialiesiems ištekliams</w:t>
            </w:r>
          </w:p>
        </w:tc>
        <w:tc>
          <w:tcPr>
            <w:tcW w:w="4053" w:type="pct"/>
            <w:gridSpan w:val="2"/>
          </w:tcPr>
          <w:p w:rsidR="00111977" w:rsidRPr="006C6C3B" w:rsidRDefault="00111977" w:rsidP="006C6C3B">
            <w:pPr>
              <w:spacing w:after="0" w:line="240" w:lineRule="auto"/>
              <w:rPr>
                <w:rFonts w:ascii="Times New Roman" w:hAnsi="Times New Roman" w:cs="Times New Roman"/>
                <w:i/>
                <w:sz w:val="24"/>
                <w:szCs w:val="24"/>
              </w:rPr>
            </w:pPr>
            <w:r w:rsidRPr="006C6C3B">
              <w:rPr>
                <w:rFonts w:ascii="Times New Roman" w:hAnsi="Times New Roman" w:cs="Times New Roman"/>
                <w:i/>
                <w:sz w:val="24"/>
                <w:szCs w:val="24"/>
              </w:rPr>
              <w:lastRenderedPageBreak/>
              <w:t>Mokymo(si) medžiaga:</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Vadovėliai ir kita mokomoji medžiaga</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lastRenderedPageBreak/>
              <w:t>Darbuotojų saugos ir sveikatos reikalavimai</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Vaizdinės priemonės: skaidrės, vaizdo medžiaga, dvimatės ir trimatės grafikos produktų pavyzdžiai</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IEC/EN 60825-1, ISO 10110, MIL-13830A, ISO 14001:2015  standartai</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Optinių, mechaninių elementų ir surenkamų sistemų brėžiniai</w:t>
            </w:r>
          </w:p>
          <w:p w:rsidR="00111977" w:rsidRPr="006C6C3B" w:rsidRDefault="00111977" w:rsidP="006C6C3B">
            <w:pPr>
              <w:pStyle w:val="NoSpacing"/>
              <w:widowControl w:val="0"/>
              <w:rPr>
                <w:rFonts w:eastAsia="Calibri"/>
                <w:i/>
              </w:rPr>
            </w:pPr>
            <w:r w:rsidRPr="006C6C3B">
              <w:rPr>
                <w:rFonts w:eastAsia="Calibri"/>
                <w:i/>
              </w:rPr>
              <w:t>Mokymo(si) priemonės:</w:t>
            </w:r>
          </w:p>
          <w:p w:rsidR="00111977" w:rsidRPr="006C6C3B" w:rsidRDefault="00111977" w:rsidP="006C6C3B">
            <w:pPr>
              <w:pStyle w:val="ListParagraph"/>
              <w:widowControl w:val="0"/>
              <w:numPr>
                <w:ilvl w:val="0"/>
                <w:numId w:val="13"/>
              </w:numPr>
              <w:pBdr>
                <w:top w:val="nil"/>
                <w:left w:val="nil"/>
                <w:bottom w:val="nil"/>
                <w:right w:val="nil"/>
                <w:between w:val="nil"/>
              </w:pBd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Techninės priemonės mokymo(si) medžiagai iliustruoti, vizualizuoti, pristatyti</w:t>
            </w:r>
          </w:p>
          <w:p w:rsidR="00111977" w:rsidRPr="006C6C3B" w:rsidRDefault="00111977" w:rsidP="006C6C3B">
            <w:pPr>
              <w:pStyle w:val="ListParagraph"/>
              <w:widowControl w:val="0"/>
              <w:numPr>
                <w:ilvl w:val="0"/>
                <w:numId w:val="13"/>
              </w:numPr>
              <w:spacing w:after="0" w:line="240" w:lineRule="auto"/>
              <w:ind w:left="0" w:firstLine="0"/>
              <w:contextualSpacing w:val="0"/>
              <w:rPr>
                <w:rFonts w:ascii="Times New Roman" w:hAnsi="Times New Roman" w:cs="Times New Roman"/>
                <w:sz w:val="24"/>
                <w:szCs w:val="24"/>
              </w:rPr>
            </w:pPr>
            <w:r w:rsidRPr="006C6C3B">
              <w:rPr>
                <w:rFonts w:ascii="Times New Roman" w:hAnsi="Times New Roman" w:cs="Times New Roman"/>
                <w:sz w:val="24"/>
                <w:szCs w:val="24"/>
              </w:rPr>
              <w:t>Produktų pavyzdžiai: lazerių optiniai, mechaniniai elementai ir jų sistemos, He-Ne ar analogiški lazeriai</w:t>
            </w:r>
          </w:p>
        </w:tc>
      </w:tr>
      <w:tr w:rsidR="00111977" w:rsidRPr="006C6C3B" w:rsidTr="00620311">
        <w:trPr>
          <w:trHeight w:val="57"/>
          <w:jc w:val="center"/>
        </w:trPr>
        <w:tc>
          <w:tcPr>
            <w:tcW w:w="947" w:type="pct"/>
          </w:tcPr>
          <w:p w:rsidR="00111977" w:rsidRPr="006C6C3B" w:rsidRDefault="00111977" w:rsidP="006C6C3B">
            <w:pPr>
              <w:pStyle w:val="2vidutinistinklelis1"/>
              <w:widowControl w:val="0"/>
            </w:pPr>
            <w:r w:rsidRPr="006C6C3B">
              <w:lastRenderedPageBreak/>
              <w:t>Reikalavimai teorinio ir praktinio mokymo vietai</w:t>
            </w:r>
          </w:p>
        </w:tc>
        <w:tc>
          <w:tcPr>
            <w:tcW w:w="4053" w:type="pct"/>
            <w:gridSpan w:val="2"/>
          </w:tcPr>
          <w:p w:rsidR="00111977" w:rsidRPr="006C6C3B" w:rsidRDefault="00111977" w:rsidP="006C6C3B">
            <w:pPr>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 xml:space="preserve">Klasė ar kita mokymui(si) pritaikyta patalpa su techninėmis priemonėmis (kompiuteriu, vaizdo projektoriumi, </w:t>
            </w:r>
            <w:r w:rsidRPr="006C6C3B">
              <w:rPr>
                <w:rFonts w:ascii="Times New Roman" w:hAnsi="Times New Roman" w:cs="Times New Roman"/>
                <w:sz w:val="24"/>
                <w:szCs w:val="24"/>
                <w:shd w:val="clear" w:color="auto" w:fill="FFFFFF"/>
              </w:rPr>
              <w:t>grafine automatizuoto projektavimo programa, grafine optikos projektavimo programa, kokybės valdymo informacinės sistemos programa</w:t>
            </w:r>
            <w:r w:rsidRPr="006C6C3B">
              <w:rPr>
                <w:rFonts w:ascii="Times New Roman" w:hAnsi="Times New Roman" w:cs="Times New Roman"/>
                <w:sz w:val="24"/>
                <w:szCs w:val="24"/>
              </w:rPr>
              <w:t>) mokymo(si) medžiagai pateikti.</w:t>
            </w:r>
          </w:p>
          <w:p w:rsidR="00111977" w:rsidRPr="006C6C3B" w:rsidRDefault="00111977" w:rsidP="006C6C3B">
            <w:pPr>
              <w:widowControl w:val="0"/>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Praktinio mokymo klasė (patalpa), aprūpinta: įrengta lazerių optinių ir mechaninių įtaisų bei jų sistemų testavimo vieta be švarumo lygio reikalavimų atitikties, įrengtomis lazerių optinių ir mechaninių įtaisų bei jų sistemų testavimo vietomis, atitinkančiomis ISO 8, ISO 7 ir ISO 6 švarumo lygio reikalavimus,</w:t>
            </w:r>
            <w:r w:rsidRPr="006C6C3B" w:rsidDel="00167AB0">
              <w:rPr>
                <w:rFonts w:ascii="Times New Roman" w:hAnsi="Times New Roman" w:cs="Times New Roman"/>
                <w:sz w:val="24"/>
                <w:szCs w:val="24"/>
              </w:rPr>
              <w:t xml:space="preserve"> </w:t>
            </w:r>
            <w:r w:rsidRPr="006C6C3B">
              <w:rPr>
                <w:rFonts w:ascii="Times New Roman" w:hAnsi="Times New Roman" w:cs="Times New Roman"/>
                <w:sz w:val="24"/>
                <w:szCs w:val="24"/>
              </w:rPr>
              <w:t xml:space="preserve">įrengta lazerių optinių ir mechaninių įtaisų demontavimo ir surinkimo vieta be švarumo lygio reikalavimų atitikties, įrengtomis lazerių optinių ir mechaninių įtaisų demontavimo ir surinkimo vietomis, atitinkančiomis ISO 7 ir ISO 6 švarumo lygio reikalavimus, optinių ir mechaninių komponentų valymo priemonėmis, slankmačiais, mikrometrais, optiniu etalonu, mikroskopu, interferometru, sferometru, spektrofotometru, lazerinės spinduliuotės galingumo matavimo prietaisu, elektros dydžių matavimo prietaisais, optinių sistemų demontavimo įtaisais, elektros montavimo įrankiais, darbo drabužiais, lazerosaugos ir elektrosaugos priemonėmis, kolektyvinėmis ir asmeninėmis apsaugos priemonėmis, atliekų rūšiavimo ir utilizavimo priemonėmis. </w:t>
            </w:r>
          </w:p>
        </w:tc>
      </w:tr>
      <w:tr w:rsidR="00111977" w:rsidRPr="006C6C3B" w:rsidTr="00620311">
        <w:trPr>
          <w:trHeight w:val="57"/>
          <w:jc w:val="center"/>
        </w:trPr>
        <w:tc>
          <w:tcPr>
            <w:tcW w:w="947" w:type="pct"/>
          </w:tcPr>
          <w:p w:rsidR="00111977" w:rsidRPr="006C6C3B" w:rsidRDefault="00111977" w:rsidP="006C6C3B">
            <w:pPr>
              <w:pStyle w:val="2vidutinistinklelis1"/>
              <w:widowControl w:val="0"/>
            </w:pPr>
            <w:r w:rsidRPr="006C6C3B">
              <w:t>Kvalifikaciniai ir kompetencijų reikalavimai mokytojams (dėstytojams)</w:t>
            </w:r>
          </w:p>
        </w:tc>
        <w:tc>
          <w:tcPr>
            <w:tcW w:w="4053" w:type="pct"/>
            <w:gridSpan w:val="2"/>
          </w:tcPr>
          <w:p w:rsidR="00111977" w:rsidRPr="006C6C3B" w:rsidRDefault="00111977" w:rsidP="006C6C3B">
            <w:pPr>
              <w:widowControl w:val="0"/>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Modulį gali vesti mokytojas, turintis:</w:t>
            </w:r>
          </w:p>
          <w:p w:rsidR="00111977" w:rsidRPr="006C6C3B" w:rsidRDefault="00111977" w:rsidP="006C6C3B">
            <w:pPr>
              <w:widowControl w:val="0"/>
              <w:spacing w:after="0" w:line="240" w:lineRule="auto"/>
              <w:jc w:val="both"/>
              <w:rPr>
                <w:rFonts w:ascii="Times New Roman" w:hAnsi="Times New Roman" w:cs="Times New Roman"/>
                <w:sz w:val="24"/>
                <w:szCs w:val="24"/>
              </w:rPr>
            </w:pPr>
            <w:r w:rsidRPr="006C6C3B">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111977" w:rsidRPr="006C6C3B" w:rsidRDefault="00111977" w:rsidP="006C6C3B">
            <w:pPr>
              <w:pStyle w:val="2vidutinistinklelis1"/>
              <w:widowControl w:val="0"/>
              <w:jc w:val="both"/>
              <w:rPr>
                <w:i/>
                <w:iCs/>
              </w:rPr>
            </w:pPr>
            <w:r w:rsidRPr="006C6C3B">
              <w:t>2) fizikos arba medžiagų technologijų studijų krypties kvalifikaciją ar lygiavertį išsilavinimą arba vidurinį išsilavinimą ir lazerių optinių ir mechaninių įtaisų ir jų komponentų surinkėjo ar lygiavertę kvalifikaciją, ne mažesnę kaip 3 metų lazerių optinių ir mechaninių įtaisų ir jų komponentų surinkėjo profesinės veiklos patirtį ir pedagoginių ir psichologinių žinių kurso baigimo pažymėjimą.</w:t>
            </w:r>
          </w:p>
        </w:tc>
      </w:tr>
    </w:tbl>
    <w:p w:rsidR="005C6B90" w:rsidRPr="006C6C3B" w:rsidRDefault="005C6B90" w:rsidP="006C6C3B">
      <w:pPr>
        <w:widowControl w:val="0"/>
        <w:spacing w:after="0" w:line="240" w:lineRule="auto"/>
        <w:rPr>
          <w:rFonts w:ascii="Times New Roman" w:hAnsi="Times New Roman" w:cs="Times New Roman"/>
          <w:b/>
          <w:sz w:val="24"/>
          <w:szCs w:val="24"/>
        </w:rPr>
      </w:pPr>
    </w:p>
    <w:p w:rsidR="009109BE" w:rsidRPr="006C6C3B" w:rsidRDefault="009109BE" w:rsidP="006C6C3B">
      <w:pPr>
        <w:spacing w:after="0" w:line="240" w:lineRule="auto"/>
        <w:jc w:val="center"/>
        <w:rPr>
          <w:rFonts w:ascii="Times New Roman" w:hAnsi="Times New Roman" w:cs="Times New Roman"/>
          <w:sz w:val="24"/>
          <w:szCs w:val="24"/>
        </w:rPr>
      </w:pPr>
      <w:r w:rsidRPr="006C6C3B">
        <w:rPr>
          <w:rFonts w:ascii="Times New Roman" w:hAnsi="Times New Roman" w:cs="Times New Roman"/>
          <w:sz w:val="24"/>
          <w:szCs w:val="24"/>
        </w:rPr>
        <w:t>__________________________</w:t>
      </w:r>
    </w:p>
    <w:sectPr w:rsidR="009109BE" w:rsidRPr="006C6C3B"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4C" w:rsidRDefault="00E2064C">
      <w:pPr>
        <w:spacing w:after="0" w:line="240" w:lineRule="auto"/>
      </w:pPr>
      <w:r>
        <w:separator/>
      </w:r>
    </w:p>
  </w:endnote>
  <w:endnote w:type="continuationSeparator" w:id="0">
    <w:p w:rsidR="00E2064C" w:rsidRDefault="00E2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E07481" w:rsidRDefault="00E07481"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07481" w:rsidRDefault="00E07481"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E07481" w:rsidRPr="000715A3" w:rsidRDefault="00E07481"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9C3563">
          <w:rPr>
            <w:rStyle w:val="PageNumber"/>
            <w:rFonts w:ascii="Times New Roman" w:hAnsi="Times New Roman" w:cs="Times New Roman"/>
            <w:noProof/>
          </w:rPr>
          <w:t>5</w:t>
        </w:r>
        <w:r w:rsidRPr="000715A3">
          <w:rPr>
            <w:rStyle w:val="PageNumber"/>
            <w:rFonts w:ascii="Times New Roman" w:hAnsi="Times New Roman" w:cs="Times New Roman"/>
          </w:rPr>
          <w:fldChar w:fldCharType="end"/>
        </w:r>
      </w:p>
    </w:sdtContent>
  </w:sdt>
  <w:p w:rsidR="00E07481" w:rsidRDefault="00E07481"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4C" w:rsidRDefault="00E2064C">
      <w:pPr>
        <w:spacing w:after="0" w:line="240" w:lineRule="auto"/>
      </w:pPr>
      <w:r>
        <w:separator/>
      </w:r>
    </w:p>
  </w:footnote>
  <w:footnote w:type="continuationSeparator" w:id="0">
    <w:p w:rsidR="00E2064C" w:rsidRDefault="00E2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81" w:rsidRPr="00445EF7" w:rsidRDefault="00E07481"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36220"/>
    <w:multiLevelType w:val="hybridMultilevel"/>
    <w:tmpl w:val="781C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D51C9"/>
    <w:multiLevelType w:val="hybridMultilevel"/>
    <w:tmpl w:val="36CC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75BC4"/>
    <w:multiLevelType w:val="hybridMultilevel"/>
    <w:tmpl w:val="6630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17614"/>
    <w:multiLevelType w:val="hybridMultilevel"/>
    <w:tmpl w:val="645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3F6C"/>
    <w:multiLevelType w:val="hybridMultilevel"/>
    <w:tmpl w:val="8D4C0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424E9C"/>
    <w:multiLevelType w:val="hybridMultilevel"/>
    <w:tmpl w:val="7E78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403"/>
    <w:multiLevelType w:val="hybridMultilevel"/>
    <w:tmpl w:val="B8845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A326D"/>
    <w:multiLevelType w:val="hybridMultilevel"/>
    <w:tmpl w:val="77662432"/>
    <w:lvl w:ilvl="0" w:tplc="04090001">
      <w:start w:val="1"/>
      <w:numFmt w:val="bullet"/>
      <w:lvlText w:val=""/>
      <w:lvlJc w:val="left"/>
      <w:pPr>
        <w:ind w:left="360" w:hanging="360"/>
      </w:pPr>
      <w:rPr>
        <w:rFonts w:ascii="Symbol" w:hAnsi="Symbol" w:hint="default"/>
        <w:u w:val="none"/>
      </w:rPr>
    </w:lvl>
    <w:lvl w:ilvl="1" w:tplc="FFFFFFFF">
      <w:start w:val="1"/>
      <w:numFmt w:val="bullet"/>
      <w:lvlText w:val="○"/>
      <w:lvlJc w:val="left"/>
      <w:pPr>
        <w:ind w:left="1080" w:hanging="360"/>
      </w:pPr>
      <w:rPr>
        <w:u w:val="none"/>
      </w:rPr>
    </w:lvl>
    <w:lvl w:ilvl="2" w:tplc="FFFFFFFF">
      <w:start w:val="1"/>
      <w:numFmt w:val="bullet"/>
      <w:lvlText w:val="■"/>
      <w:lvlJc w:val="left"/>
      <w:pPr>
        <w:ind w:left="1800" w:hanging="360"/>
      </w:pPr>
      <w:rPr>
        <w:u w:val="none"/>
      </w:rPr>
    </w:lvl>
    <w:lvl w:ilvl="3" w:tplc="FFFFFFFF">
      <w:start w:val="1"/>
      <w:numFmt w:val="bullet"/>
      <w:lvlText w:val="●"/>
      <w:lvlJc w:val="left"/>
      <w:pPr>
        <w:ind w:left="2520" w:hanging="360"/>
      </w:pPr>
      <w:rPr>
        <w:u w:val="none"/>
      </w:rPr>
    </w:lvl>
    <w:lvl w:ilvl="4" w:tplc="FFFFFFFF">
      <w:start w:val="1"/>
      <w:numFmt w:val="bullet"/>
      <w:lvlText w:val="○"/>
      <w:lvlJc w:val="left"/>
      <w:pPr>
        <w:ind w:left="3240" w:hanging="360"/>
      </w:pPr>
      <w:rPr>
        <w:u w:val="none"/>
      </w:rPr>
    </w:lvl>
    <w:lvl w:ilvl="5" w:tplc="FFFFFFFF">
      <w:start w:val="1"/>
      <w:numFmt w:val="bullet"/>
      <w:lvlText w:val="■"/>
      <w:lvlJc w:val="left"/>
      <w:pPr>
        <w:ind w:left="3960" w:hanging="360"/>
      </w:pPr>
      <w:rPr>
        <w:u w:val="none"/>
      </w:rPr>
    </w:lvl>
    <w:lvl w:ilvl="6" w:tplc="FFFFFFFF">
      <w:start w:val="1"/>
      <w:numFmt w:val="bullet"/>
      <w:lvlText w:val="●"/>
      <w:lvlJc w:val="left"/>
      <w:pPr>
        <w:ind w:left="4680" w:hanging="360"/>
      </w:pPr>
      <w:rPr>
        <w:u w:val="none"/>
      </w:rPr>
    </w:lvl>
    <w:lvl w:ilvl="7" w:tplc="FFFFFFFF">
      <w:start w:val="1"/>
      <w:numFmt w:val="bullet"/>
      <w:lvlText w:val="○"/>
      <w:lvlJc w:val="left"/>
      <w:pPr>
        <w:ind w:left="5400" w:hanging="360"/>
      </w:pPr>
      <w:rPr>
        <w:u w:val="none"/>
      </w:rPr>
    </w:lvl>
    <w:lvl w:ilvl="8" w:tplc="FFFFFFFF">
      <w:start w:val="1"/>
      <w:numFmt w:val="bullet"/>
      <w:lvlText w:val="■"/>
      <w:lvlJc w:val="left"/>
      <w:pPr>
        <w:ind w:left="6120" w:hanging="360"/>
      </w:pPr>
      <w:rPr>
        <w:u w:val="none"/>
      </w:rPr>
    </w:lvl>
  </w:abstractNum>
  <w:abstractNum w:abstractNumId="9" w15:restartNumberingAfterBreak="0">
    <w:nsid w:val="5287413E"/>
    <w:multiLevelType w:val="hybridMultilevel"/>
    <w:tmpl w:val="8F2C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92DC5"/>
    <w:multiLevelType w:val="hybridMultilevel"/>
    <w:tmpl w:val="91A86DF2"/>
    <w:lvl w:ilvl="0" w:tplc="04090001">
      <w:start w:val="1"/>
      <w:numFmt w:val="bullet"/>
      <w:lvlText w:val=""/>
      <w:lvlJc w:val="left"/>
      <w:pPr>
        <w:ind w:left="360" w:hanging="360"/>
      </w:pPr>
      <w:rPr>
        <w:rFonts w:ascii="Symbol" w:hAnsi="Symbol" w:hint="default"/>
        <w:u w:val="none"/>
      </w:rPr>
    </w:lvl>
    <w:lvl w:ilvl="1" w:tplc="09EE7320">
      <w:start w:val="1"/>
      <w:numFmt w:val="bullet"/>
      <w:lvlText w:val="○"/>
      <w:lvlJc w:val="left"/>
      <w:pPr>
        <w:ind w:left="1080" w:hanging="360"/>
      </w:pPr>
      <w:rPr>
        <w:u w:val="none"/>
      </w:rPr>
    </w:lvl>
    <w:lvl w:ilvl="2" w:tplc="1EB2021A">
      <w:start w:val="1"/>
      <w:numFmt w:val="bullet"/>
      <w:lvlText w:val="■"/>
      <w:lvlJc w:val="left"/>
      <w:pPr>
        <w:ind w:left="1800" w:hanging="360"/>
      </w:pPr>
      <w:rPr>
        <w:u w:val="none"/>
      </w:rPr>
    </w:lvl>
    <w:lvl w:ilvl="3" w:tplc="166A42A4">
      <w:start w:val="1"/>
      <w:numFmt w:val="bullet"/>
      <w:lvlText w:val="●"/>
      <w:lvlJc w:val="left"/>
      <w:pPr>
        <w:ind w:left="2520" w:hanging="360"/>
      </w:pPr>
      <w:rPr>
        <w:u w:val="none"/>
      </w:rPr>
    </w:lvl>
    <w:lvl w:ilvl="4" w:tplc="01AEE3F2">
      <w:start w:val="1"/>
      <w:numFmt w:val="bullet"/>
      <w:lvlText w:val="○"/>
      <w:lvlJc w:val="left"/>
      <w:pPr>
        <w:ind w:left="3240" w:hanging="360"/>
      </w:pPr>
      <w:rPr>
        <w:u w:val="none"/>
      </w:rPr>
    </w:lvl>
    <w:lvl w:ilvl="5" w:tplc="37367FE4">
      <w:start w:val="1"/>
      <w:numFmt w:val="bullet"/>
      <w:lvlText w:val="■"/>
      <w:lvlJc w:val="left"/>
      <w:pPr>
        <w:ind w:left="3960" w:hanging="360"/>
      </w:pPr>
      <w:rPr>
        <w:u w:val="none"/>
      </w:rPr>
    </w:lvl>
    <w:lvl w:ilvl="6" w:tplc="C0446262">
      <w:start w:val="1"/>
      <w:numFmt w:val="bullet"/>
      <w:lvlText w:val="●"/>
      <w:lvlJc w:val="left"/>
      <w:pPr>
        <w:ind w:left="4680" w:hanging="360"/>
      </w:pPr>
      <w:rPr>
        <w:u w:val="none"/>
      </w:rPr>
    </w:lvl>
    <w:lvl w:ilvl="7" w:tplc="A8CC4322">
      <w:start w:val="1"/>
      <w:numFmt w:val="bullet"/>
      <w:lvlText w:val="○"/>
      <w:lvlJc w:val="left"/>
      <w:pPr>
        <w:ind w:left="5400" w:hanging="360"/>
      </w:pPr>
      <w:rPr>
        <w:u w:val="none"/>
      </w:rPr>
    </w:lvl>
    <w:lvl w:ilvl="8" w:tplc="FEFEE900">
      <w:start w:val="1"/>
      <w:numFmt w:val="bullet"/>
      <w:lvlText w:val="■"/>
      <w:lvlJc w:val="left"/>
      <w:pPr>
        <w:ind w:left="6120" w:hanging="360"/>
      </w:pPr>
      <w:rPr>
        <w:u w:val="none"/>
      </w:rPr>
    </w:lvl>
  </w:abstractNum>
  <w:abstractNum w:abstractNumId="11" w15:restartNumberingAfterBreak="0">
    <w:nsid w:val="619445C4"/>
    <w:multiLevelType w:val="hybridMultilevel"/>
    <w:tmpl w:val="CA1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690"/>
    <w:multiLevelType w:val="hybridMultilevel"/>
    <w:tmpl w:val="5BEA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41DF4"/>
    <w:multiLevelType w:val="hybridMultilevel"/>
    <w:tmpl w:val="809C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F1AE3"/>
    <w:multiLevelType w:val="hybridMultilevel"/>
    <w:tmpl w:val="6EA0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6"/>
  </w:num>
  <w:num w:numId="5">
    <w:abstractNumId w:val="2"/>
  </w:num>
  <w:num w:numId="6">
    <w:abstractNumId w:val="9"/>
  </w:num>
  <w:num w:numId="7">
    <w:abstractNumId w:val="3"/>
  </w:num>
  <w:num w:numId="8">
    <w:abstractNumId w:val="7"/>
  </w:num>
  <w:num w:numId="9">
    <w:abstractNumId w:val="1"/>
  </w:num>
  <w:num w:numId="10">
    <w:abstractNumId w:val="5"/>
  </w:num>
  <w:num w:numId="11">
    <w:abstractNumId w:val="13"/>
  </w:num>
  <w:num w:numId="12">
    <w:abstractNumId w:val="14"/>
  </w:num>
  <w:num w:numId="13">
    <w:abstractNumId w:val="12"/>
  </w:num>
  <w:num w:numId="14">
    <w:abstractNumId w:val="10"/>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26BF"/>
    <w:rsid w:val="000251AE"/>
    <w:rsid w:val="00025E93"/>
    <w:rsid w:val="00027B69"/>
    <w:rsid w:val="000529E7"/>
    <w:rsid w:val="00053A47"/>
    <w:rsid w:val="0006381F"/>
    <w:rsid w:val="00064528"/>
    <w:rsid w:val="000702A9"/>
    <w:rsid w:val="000715A3"/>
    <w:rsid w:val="0007556B"/>
    <w:rsid w:val="000767F7"/>
    <w:rsid w:val="0007745B"/>
    <w:rsid w:val="00077B25"/>
    <w:rsid w:val="00083674"/>
    <w:rsid w:val="000D24C6"/>
    <w:rsid w:val="000D780F"/>
    <w:rsid w:val="000E2722"/>
    <w:rsid w:val="000F5A38"/>
    <w:rsid w:val="00100907"/>
    <w:rsid w:val="00111977"/>
    <w:rsid w:val="00125C19"/>
    <w:rsid w:val="00126232"/>
    <w:rsid w:val="00146340"/>
    <w:rsid w:val="00161570"/>
    <w:rsid w:val="00165AB9"/>
    <w:rsid w:val="001801DC"/>
    <w:rsid w:val="00184E29"/>
    <w:rsid w:val="0019280E"/>
    <w:rsid w:val="00194C16"/>
    <w:rsid w:val="00197F59"/>
    <w:rsid w:val="001A2C0F"/>
    <w:rsid w:val="001F1BFD"/>
    <w:rsid w:val="001F26A1"/>
    <w:rsid w:val="001F3C6D"/>
    <w:rsid w:val="001F7496"/>
    <w:rsid w:val="002032F5"/>
    <w:rsid w:val="00231D24"/>
    <w:rsid w:val="002360E9"/>
    <w:rsid w:val="002520CF"/>
    <w:rsid w:val="00252BA8"/>
    <w:rsid w:val="002561E9"/>
    <w:rsid w:val="002A257C"/>
    <w:rsid w:val="002A52A2"/>
    <w:rsid w:val="002D3951"/>
    <w:rsid w:val="00302140"/>
    <w:rsid w:val="00314362"/>
    <w:rsid w:val="00366A24"/>
    <w:rsid w:val="00367A19"/>
    <w:rsid w:val="00377797"/>
    <w:rsid w:val="003A2462"/>
    <w:rsid w:val="003D0448"/>
    <w:rsid w:val="003D6342"/>
    <w:rsid w:val="003E1479"/>
    <w:rsid w:val="004017FA"/>
    <w:rsid w:val="0042178F"/>
    <w:rsid w:val="00423448"/>
    <w:rsid w:val="0043164A"/>
    <w:rsid w:val="00432786"/>
    <w:rsid w:val="00432EF4"/>
    <w:rsid w:val="00445EF7"/>
    <w:rsid w:val="00470F05"/>
    <w:rsid w:val="00472E26"/>
    <w:rsid w:val="004F01C4"/>
    <w:rsid w:val="00510D0F"/>
    <w:rsid w:val="005112D8"/>
    <w:rsid w:val="00515BE2"/>
    <w:rsid w:val="00522B2B"/>
    <w:rsid w:val="00526D12"/>
    <w:rsid w:val="00542DCE"/>
    <w:rsid w:val="0057657C"/>
    <w:rsid w:val="005855D9"/>
    <w:rsid w:val="00593BA7"/>
    <w:rsid w:val="005B76AD"/>
    <w:rsid w:val="005C3BFD"/>
    <w:rsid w:val="005C6B90"/>
    <w:rsid w:val="005E1A8B"/>
    <w:rsid w:val="00620311"/>
    <w:rsid w:val="00632E6D"/>
    <w:rsid w:val="0064202F"/>
    <w:rsid w:val="00644D79"/>
    <w:rsid w:val="00651151"/>
    <w:rsid w:val="00654996"/>
    <w:rsid w:val="00657867"/>
    <w:rsid w:val="0067339D"/>
    <w:rsid w:val="006800BB"/>
    <w:rsid w:val="00683105"/>
    <w:rsid w:val="006A53BA"/>
    <w:rsid w:val="006B0B99"/>
    <w:rsid w:val="006C6C3B"/>
    <w:rsid w:val="006D78E1"/>
    <w:rsid w:val="00715A14"/>
    <w:rsid w:val="00716C42"/>
    <w:rsid w:val="00730454"/>
    <w:rsid w:val="007314B4"/>
    <w:rsid w:val="00743C02"/>
    <w:rsid w:val="00746798"/>
    <w:rsid w:val="00754011"/>
    <w:rsid w:val="007730D6"/>
    <w:rsid w:val="0077730C"/>
    <w:rsid w:val="007843ED"/>
    <w:rsid w:val="00786D2B"/>
    <w:rsid w:val="00790197"/>
    <w:rsid w:val="007C7CD2"/>
    <w:rsid w:val="007D0088"/>
    <w:rsid w:val="007D37A2"/>
    <w:rsid w:val="007F7A76"/>
    <w:rsid w:val="00800E61"/>
    <w:rsid w:val="00802188"/>
    <w:rsid w:val="00811F9B"/>
    <w:rsid w:val="00817525"/>
    <w:rsid w:val="0082036B"/>
    <w:rsid w:val="00821759"/>
    <w:rsid w:val="008238EF"/>
    <w:rsid w:val="00825B04"/>
    <w:rsid w:val="00842DC7"/>
    <w:rsid w:val="00851B8B"/>
    <w:rsid w:val="008527C2"/>
    <w:rsid w:val="00852882"/>
    <w:rsid w:val="00871B87"/>
    <w:rsid w:val="00872473"/>
    <w:rsid w:val="00877AB6"/>
    <w:rsid w:val="008B75DD"/>
    <w:rsid w:val="008C25CC"/>
    <w:rsid w:val="008C2836"/>
    <w:rsid w:val="008C3738"/>
    <w:rsid w:val="008C7343"/>
    <w:rsid w:val="008F5876"/>
    <w:rsid w:val="00900FB4"/>
    <w:rsid w:val="00904EBC"/>
    <w:rsid w:val="009109BE"/>
    <w:rsid w:val="009256A7"/>
    <w:rsid w:val="00937C19"/>
    <w:rsid w:val="0094297D"/>
    <w:rsid w:val="00944BAE"/>
    <w:rsid w:val="00955128"/>
    <w:rsid w:val="009569D9"/>
    <w:rsid w:val="00982004"/>
    <w:rsid w:val="009846A2"/>
    <w:rsid w:val="009C0BCE"/>
    <w:rsid w:val="009C147B"/>
    <w:rsid w:val="009C1629"/>
    <w:rsid w:val="009C3563"/>
    <w:rsid w:val="009D6FF8"/>
    <w:rsid w:val="00A376FC"/>
    <w:rsid w:val="00A51B1F"/>
    <w:rsid w:val="00A57B7D"/>
    <w:rsid w:val="00A7738D"/>
    <w:rsid w:val="00AA5423"/>
    <w:rsid w:val="00AC492F"/>
    <w:rsid w:val="00AD1862"/>
    <w:rsid w:val="00AD641A"/>
    <w:rsid w:val="00AE509C"/>
    <w:rsid w:val="00AF58AC"/>
    <w:rsid w:val="00AF76FD"/>
    <w:rsid w:val="00B0155E"/>
    <w:rsid w:val="00B12B34"/>
    <w:rsid w:val="00B1328F"/>
    <w:rsid w:val="00B139DA"/>
    <w:rsid w:val="00B15AC2"/>
    <w:rsid w:val="00B1639C"/>
    <w:rsid w:val="00B20DE0"/>
    <w:rsid w:val="00B45330"/>
    <w:rsid w:val="00B624C7"/>
    <w:rsid w:val="00B64BE7"/>
    <w:rsid w:val="00B655D6"/>
    <w:rsid w:val="00B80E4C"/>
    <w:rsid w:val="00B84C0F"/>
    <w:rsid w:val="00B9078C"/>
    <w:rsid w:val="00BC11D2"/>
    <w:rsid w:val="00BC4B9E"/>
    <w:rsid w:val="00BC7121"/>
    <w:rsid w:val="00C076C2"/>
    <w:rsid w:val="00C35020"/>
    <w:rsid w:val="00C71083"/>
    <w:rsid w:val="00C801CF"/>
    <w:rsid w:val="00CB4113"/>
    <w:rsid w:val="00CB4212"/>
    <w:rsid w:val="00CB561B"/>
    <w:rsid w:val="00CD1919"/>
    <w:rsid w:val="00CF3F62"/>
    <w:rsid w:val="00CF5822"/>
    <w:rsid w:val="00D12921"/>
    <w:rsid w:val="00D46745"/>
    <w:rsid w:val="00D54BD1"/>
    <w:rsid w:val="00D62AE1"/>
    <w:rsid w:val="00D62B81"/>
    <w:rsid w:val="00D639CE"/>
    <w:rsid w:val="00D644AA"/>
    <w:rsid w:val="00D72560"/>
    <w:rsid w:val="00D7668D"/>
    <w:rsid w:val="00D803BE"/>
    <w:rsid w:val="00D82ABF"/>
    <w:rsid w:val="00D965E2"/>
    <w:rsid w:val="00DA2342"/>
    <w:rsid w:val="00DA338D"/>
    <w:rsid w:val="00DB20C3"/>
    <w:rsid w:val="00DC135B"/>
    <w:rsid w:val="00DF4A00"/>
    <w:rsid w:val="00DF503F"/>
    <w:rsid w:val="00DF5947"/>
    <w:rsid w:val="00DF6ED4"/>
    <w:rsid w:val="00DF7D40"/>
    <w:rsid w:val="00E011AA"/>
    <w:rsid w:val="00E07481"/>
    <w:rsid w:val="00E15460"/>
    <w:rsid w:val="00E165D4"/>
    <w:rsid w:val="00E1724C"/>
    <w:rsid w:val="00E2064C"/>
    <w:rsid w:val="00E47954"/>
    <w:rsid w:val="00E677A9"/>
    <w:rsid w:val="00E73FFA"/>
    <w:rsid w:val="00E7737F"/>
    <w:rsid w:val="00E81F6C"/>
    <w:rsid w:val="00E83AB1"/>
    <w:rsid w:val="00E942E0"/>
    <w:rsid w:val="00EC2385"/>
    <w:rsid w:val="00EC2D50"/>
    <w:rsid w:val="00ED67C1"/>
    <w:rsid w:val="00EE5C9D"/>
    <w:rsid w:val="00F01882"/>
    <w:rsid w:val="00F02EF6"/>
    <w:rsid w:val="00F23E6A"/>
    <w:rsid w:val="00F45A2F"/>
    <w:rsid w:val="00F525CF"/>
    <w:rsid w:val="00F60628"/>
    <w:rsid w:val="00F6076F"/>
    <w:rsid w:val="00F70EC3"/>
    <w:rsid w:val="00F77383"/>
    <w:rsid w:val="00F84371"/>
    <w:rsid w:val="00F8798B"/>
    <w:rsid w:val="00FB249D"/>
    <w:rsid w:val="00FB7286"/>
    <w:rsid w:val="00FB7BD9"/>
    <w:rsid w:val="00FC1C7D"/>
    <w:rsid w:val="00FD090D"/>
    <w:rsid w:val="00FE03D8"/>
    <w:rsid w:val="00FF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77BE"/>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paragraph" w:styleId="Heading3">
    <w:name w:val="heading 3"/>
    <w:basedOn w:val="Normal"/>
    <w:next w:val="Normal"/>
    <w:link w:val="Heading3Char"/>
    <w:uiPriority w:val="9"/>
    <w:semiHidden/>
    <w:unhideWhenUsed/>
    <w:qFormat/>
    <w:rsid w:val="00111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7556B"/>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99"/>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81F6C"/>
    <w:rPr>
      <w:b/>
      <w:bCs/>
    </w:rPr>
  </w:style>
  <w:style w:type="paragraph" w:customStyle="1" w:styleId="Default">
    <w:name w:val="Default"/>
    <w:rsid w:val="00AE509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semiHidden/>
    <w:rsid w:val="0007556B"/>
    <w:rPr>
      <w:rFonts w:asciiTheme="majorHAnsi" w:eastAsiaTheme="majorEastAsia" w:hAnsiTheme="majorHAnsi" w:cstheme="majorBidi"/>
      <w:i/>
      <w:iCs/>
      <w:color w:val="2E74B5" w:themeColor="accent1" w:themeShade="BF"/>
      <w:sz w:val="24"/>
      <w:szCs w:val="24"/>
      <w:lang w:eastAsia="lt-LT"/>
    </w:rPr>
  </w:style>
  <w:style w:type="character" w:customStyle="1" w:styleId="fontstyle01">
    <w:name w:val="fontstyle01"/>
    <w:basedOn w:val="DefaultParagraphFont"/>
    <w:rsid w:val="00F60628"/>
    <w:rPr>
      <w:rFonts w:ascii="TimesNewRoman" w:hAnsi="TimesNewRoman" w:hint="default"/>
      <w:b w:val="0"/>
      <w:bCs w:val="0"/>
      <w:i w:val="0"/>
      <w:iCs w:val="0"/>
      <w:color w:val="000000"/>
      <w:sz w:val="24"/>
      <w:szCs w:val="24"/>
    </w:rPr>
  </w:style>
  <w:style w:type="character" w:customStyle="1" w:styleId="Heading3Char">
    <w:name w:val="Heading 3 Char"/>
    <w:basedOn w:val="DefaultParagraphFont"/>
    <w:link w:val="Heading3"/>
    <w:rsid w:val="00111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EC2F-5C5B-49BB-9C48-D415C96D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7</Pages>
  <Words>9770</Words>
  <Characters>5569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54</cp:revision>
  <cp:lastPrinted>2025-04-09T13:05:00Z</cp:lastPrinted>
  <dcterms:created xsi:type="dcterms:W3CDTF">2024-03-12T14:10:00Z</dcterms:created>
  <dcterms:modified xsi:type="dcterms:W3CDTF">2025-10-15T08:45:00Z</dcterms:modified>
</cp:coreProperties>
</file>